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33E">
        <w:rPr>
          <w:rFonts w:cstheme="minorHAnsi"/>
        </w:rPr>
        <w:t xml:space="preserve">В структуре </w:t>
      </w:r>
      <w:r w:rsidRPr="0026333E">
        <w:rPr>
          <w:rFonts w:eastAsia="CourierNewPSMT" w:cstheme="minorHAnsi"/>
        </w:rPr>
        <w:t xml:space="preserve">Boolean </w:t>
      </w:r>
      <w:r w:rsidRPr="0026333E">
        <w:rPr>
          <w:rFonts w:cstheme="minorHAnsi"/>
        </w:rPr>
        <w:t xml:space="preserve">поддерживаются данные типа </w:t>
      </w:r>
      <w:r w:rsidRPr="0026333E">
        <w:rPr>
          <w:rFonts w:eastAsia="CourierNewPSMT" w:cstheme="minorHAnsi"/>
        </w:rPr>
        <w:t>bool</w:t>
      </w:r>
      <w:r w:rsidRPr="0026333E">
        <w:rPr>
          <w:rFonts w:cstheme="minorHAnsi"/>
        </w:rPr>
        <w:t>. Методы, определенные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33E">
        <w:rPr>
          <w:rFonts w:cstheme="minorHAnsi"/>
        </w:rPr>
        <w:t>в этой структуре, перечислены в табл. 21.10. Кроме того, в ней определены следующие</w:t>
      </w:r>
    </w:p>
    <w:p w:rsidR="00CB1C51" w:rsidRDefault="0026333E" w:rsidP="0026333E">
      <w:pPr>
        <w:rPr>
          <w:rFonts w:cstheme="minorHAnsi"/>
        </w:rPr>
      </w:pPr>
      <w:r w:rsidRPr="0026333E">
        <w:rPr>
          <w:rFonts w:cstheme="minorHAnsi"/>
        </w:rPr>
        <w:t>поля.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FalseString</w:t>
      </w:r>
    </w:p>
    <w:p w:rsidR="0026333E" w:rsidRDefault="0026333E" w:rsidP="0026333E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33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3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TrueString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33E">
        <w:rPr>
          <w:rFonts w:cstheme="minorHAnsi"/>
        </w:rPr>
        <w:t xml:space="preserve">В этих полях логические значения </w:t>
      </w:r>
      <w:r w:rsidRPr="0026333E">
        <w:rPr>
          <w:rFonts w:eastAsia="CourierNewPSMT" w:cstheme="minorHAnsi"/>
        </w:rPr>
        <w:t xml:space="preserve">true </w:t>
      </w:r>
      <w:r w:rsidRPr="0026333E">
        <w:rPr>
          <w:rFonts w:cstheme="minorHAnsi"/>
        </w:rPr>
        <w:t xml:space="preserve">и </w:t>
      </w:r>
      <w:r w:rsidRPr="0026333E">
        <w:rPr>
          <w:rFonts w:eastAsia="CourierNewPSMT" w:cstheme="minorHAnsi"/>
        </w:rPr>
        <w:t xml:space="preserve">false </w:t>
      </w:r>
      <w:r w:rsidRPr="0026333E">
        <w:rPr>
          <w:rFonts w:cstheme="minorHAnsi"/>
        </w:rPr>
        <w:t>содержатся в удобочитаемой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33E">
        <w:rPr>
          <w:rFonts w:cstheme="minorHAnsi"/>
        </w:rPr>
        <w:t xml:space="preserve">форме. Так, если вывести содержимое поля </w:t>
      </w:r>
      <w:r w:rsidRPr="0026333E">
        <w:rPr>
          <w:rFonts w:eastAsia="CourierNewPSMT" w:cstheme="minorHAnsi"/>
        </w:rPr>
        <w:t xml:space="preserve">FalseString </w:t>
      </w:r>
      <w:r w:rsidRPr="0026333E">
        <w:rPr>
          <w:rFonts w:cstheme="minorHAnsi"/>
        </w:rPr>
        <w:t>с помощью метода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6333E">
        <w:rPr>
          <w:rFonts w:eastAsia="CourierNewPSMT" w:cstheme="minorHAnsi"/>
        </w:rPr>
        <w:t>WriteLine(</w:t>
      </w:r>
      <w:proofErr w:type="gramEnd"/>
      <w:r w:rsidRPr="0026333E">
        <w:rPr>
          <w:rFonts w:eastAsia="CourierNewPSMT" w:cstheme="minorHAnsi"/>
        </w:rPr>
        <w:t>)</w:t>
      </w:r>
      <w:r w:rsidRPr="0026333E">
        <w:rPr>
          <w:rFonts w:cstheme="minorHAnsi"/>
        </w:rPr>
        <w:t xml:space="preserve">, то на экране появится строка </w:t>
      </w:r>
      <w:r w:rsidRPr="0026333E">
        <w:rPr>
          <w:rFonts w:eastAsia="CourierNewPSMT" w:cstheme="minorHAnsi"/>
        </w:rPr>
        <w:t>"False"</w:t>
      </w:r>
      <w:r w:rsidRPr="0026333E">
        <w:rPr>
          <w:rFonts w:cstheme="minorHAnsi"/>
        </w:rPr>
        <w:t>.</w:t>
      </w:r>
    </w:p>
    <w:p w:rsidR="0026333E" w:rsidRPr="0026333E" w:rsidRDefault="0026333E" w:rsidP="0026333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6333E">
        <w:rPr>
          <w:rFonts w:cstheme="minorHAnsi"/>
        </w:rPr>
        <w:t xml:space="preserve">В структуре </w:t>
      </w:r>
      <w:r w:rsidRPr="0026333E">
        <w:rPr>
          <w:rFonts w:eastAsia="CourierNewPSMT" w:cstheme="minorHAnsi"/>
        </w:rPr>
        <w:t xml:space="preserve">Boolean </w:t>
      </w:r>
      <w:r w:rsidRPr="0026333E">
        <w:rPr>
          <w:rFonts w:cstheme="minorHAnsi"/>
        </w:rPr>
        <w:t xml:space="preserve">реализованы следующие интерфейсы: </w:t>
      </w:r>
      <w:r w:rsidRPr="0026333E">
        <w:rPr>
          <w:rFonts w:eastAsia="CourierNewPSMT" w:cstheme="minorHAnsi"/>
        </w:rPr>
        <w:t>IComparable</w:t>
      </w:r>
      <w:r w:rsidRPr="0026333E">
        <w:rPr>
          <w:rFonts w:cstheme="minorHAnsi"/>
        </w:rPr>
        <w:t>,</w:t>
      </w:r>
    </w:p>
    <w:p w:rsidR="0026333E" w:rsidRDefault="0026333E" w:rsidP="0026333E">
      <w:pPr>
        <w:rPr>
          <w:rFonts w:cstheme="minorHAnsi"/>
          <w:lang w:val="en-US"/>
        </w:rPr>
      </w:pPr>
      <w:r w:rsidRPr="0026333E">
        <w:rPr>
          <w:rFonts w:eastAsia="CourierNewPSMT" w:cstheme="minorHAnsi"/>
          <w:lang w:val="en-US"/>
        </w:rPr>
        <w:t>IComparable&lt;bool&gt;</w:t>
      </w:r>
      <w:r w:rsidRPr="0026333E">
        <w:rPr>
          <w:rFonts w:cstheme="minorHAnsi"/>
          <w:lang w:val="en-US"/>
        </w:rPr>
        <w:t xml:space="preserve">, </w:t>
      </w:r>
      <w:r w:rsidRPr="0026333E">
        <w:rPr>
          <w:rFonts w:eastAsia="CourierNewPSMT" w:cstheme="minorHAnsi"/>
          <w:lang w:val="en-US"/>
        </w:rPr>
        <w:t xml:space="preserve">IConvertible </w:t>
      </w:r>
      <w:r w:rsidRPr="0026333E">
        <w:rPr>
          <w:rFonts w:cstheme="minorHAnsi"/>
        </w:rPr>
        <w:t>и</w:t>
      </w:r>
      <w:r w:rsidRPr="0026333E">
        <w:rPr>
          <w:rFonts w:cstheme="minorHAnsi"/>
          <w:lang w:val="en-US"/>
        </w:rPr>
        <w:t xml:space="preserve"> </w:t>
      </w:r>
      <w:r w:rsidRPr="0026333E">
        <w:rPr>
          <w:rFonts w:eastAsia="CourierNewPSMT" w:cstheme="minorHAnsi"/>
          <w:lang w:val="en-US"/>
        </w:rPr>
        <w:t>IEquatable&lt;bool&gt;</w:t>
      </w:r>
      <w:r w:rsidRPr="0026333E">
        <w:rPr>
          <w:rFonts w:cstheme="minorHAnsi"/>
          <w:lang w:val="en-US"/>
        </w:rPr>
        <w:t>.</w:t>
      </w:r>
    </w:p>
    <w:p w:rsidR="0026333E" w:rsidRDefault="00F25CE0" w:rsidP="0026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8.25pt">
            <v:imagedata r:id="rId4" o:title="1"/>
          </v:shape>
        </w:pict>
      </w:r>
    </w:p>
    <w:p w:rsidR="00F25CE0" w:rsidRPr="0026333E" w:rsidRDefault="00F25CE0" w:rsidP="0026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pict>
          <v:shape id="_x0000_i1026" type="#_x0000_t75" style="width:467.25pt;height:141.75pt">
            <v:imagedata r:id="rId5" o:title="2"/>
          </v:shape>
        </w:pict>
      </w:r>
      <w:bookmarkStart w:id="0" w:name="_GoBack"/>
      <w:bookmarkEnd w:id="0"/>
    </w:p>
    <w:sectPr w:rsidR="00F25CE0" w:rsidRPr="0026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CB"/>
    <w:rsid w:val="0026333E"/>
    <w:rsid w:val="00CB1C51"/>
    <w:rsid w:val="00F06DCB"/>
    <w:rsid w:val="00F2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06A3"/>
  <w15:chartTrackingRefBased/>
  <w15:docId w15:val="{1514C04B-AB43-4871-B782-5FFFDD40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2018-07-26T12:05:00Z</dcterms:created>
  <dcterms:modified xsi:type="dcterms:W3CDTF">2018-07-26T12:07:00Z</dcterms:modified>
</cp:coreProperties>
</file>