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FIELD PLAYBOOK  •  EDUCATION / PROFESSIONAL LEARNING</w:t>
      </w:r>
    </w:p>
    <w:p/>
    <w:p>
      <w:r>
        <w:rPr>
          <w:b/>
          <w:color w:val="A47D27"/>
          <w:sz w:val="132"/>
        </w:rPr>
        <w:t>Σ</w:t>
      </w:r>
    </w:p>
    <w:p>
      <w:pPr>
        <w:pStyle w:val="Title"/>
      </w:pPr>
      <w:r>
        <w:t>FIRST</w:t>
      </w:r>
    </w:p>
    <w:p>
      <w:pPr>
        <w:pStyle w:val="Subtitle"/>
      </w:pPr>
      <w:r>
        <w:t>First Principles, Independent Reasoning</w:t>
        <w:br/>
        <w:t>&amp; Systems Transfer</w:t>
      </w:r>
    </w:p>
    <w:p>
      <w:pPr>
        <w:pStyle w:val="Heading2"/>
      </w:pPr>
      <w:r>
        <w:t>DEEP SIGMA IMPLEMENTATION PLAYBOOK</w:t>
      </w:r>
    </w:p>
    <w:p>
      <w:r>
        <w:t>Version 0.1  |  October 23, 2026  |  Proposed six-week feasibility pilot</w:t>
      </w:r>
    </w:p>
    <w:p/>
    <w:tbl>
      <w:tblPr>
        <w:tblW w:type="auto" w:w="0"/>
        <w:jc w:val="center"/>
        <w:tblLook w:firstColumn="1" w:firstRow="1" w:lastColumn="0" w:lastRow="0" w:noHBand="0" w:noVBand="1" w:val="04A0"/>
      </w:tblPr>
      <w:tblGrid>
        <w:gridCol w:w="10166"/>
      </w:tblGrid>
      <w:tr>
        <w:tc>
          <w:tcPr>
            <w:tcW w:type="dxa" w:w="10166"/>
            <w:shd w:fill="EDF2ED"/>
          </w:tcPr>
          <w:p>
            <w:r>
              <w:rPr>
                <w:sz w:val="22"/>
              </w:rPr>
            </w:r>
            <w:r>
              <w:rPr>
                <w:b/>
                <w:color w:val="243B2B"/>
                <w:sz w:val="22"/>
              </w:rPr>
              <w:t>Build understanding that survives a change in the problem.</w:t>
              <w:br/>
            </w:r>
            <w:r>
              <w:rPr>
                <w:sz w:val="22"/>
              </w:rPr>
              <w:t>Teach the foundations. Expose the assumptions. Test the model. Preserve the correction. Demonstrate transfer without AI, then evaluate what AI adds.</w:t>
            </w:r>
          </w:p>
        </w:tc>
      </w:tr>
    </w:tbl>
    <w:p>
      <w:pPr>
        <w:spacing w:after="0"/>
      </w:pPr>
    </w:p>
    <w:p>
      <w:r>
        <w:t>Purpose: give a faculty lead, assessment lead, and Deep Sigma architect a runnable method for testing evidence-linked reasoning episodes within an existing course.</w:t>
      </w:r>
    </w:p>
    <w:p>
      <w:r>
        <w:t>Pilot envelope: 20 adult learners; two groups of 10; six teaching weeks; a delayed independent assessment two weeks later. All numbers are design choices, not completed work or established benchmarks.</w:t>
      </w:r>
    </w:p>
    <w:p>
      <w:r>
        <w:t>Deliverables: this playbook and a companion Excel workbook with CERPA records, an episode manifest, assessment capture, launch gates, and a fully labeled synthetic example.</w:t>
      </w:r>
    </w:p>
    <w:p>
      <w:pPr>
        <w:pStyle w:val="Caption"/>
      </w:pPr>
      <w:r>
        <w:t>Status: DESIGN READY FOR REVIEW. No institution has been recruited, no learners have been enrolled, and no educational effectiveness or live software integration has been demonstrated in this work.</w:t>
      </w:r>
    </w:p>
    <w:p>
      <w:r>
        <w:br w:type="page"/>
      </w:r>
    </w:p>
    <w:p>
      <w:pPr>
        <w:pStyle w:val="Caption"/>
      </w:pPr>
      <w:r>
        <w:t>01  /  IMPLEMENTATION PLAYBOOK</w:t>
      </w:r>
    </w:p>
    <w:p>
      <w:pPr>
        <w:pStyle w:val="Heading1"/>
      </w:pPr>
      <w:r>
        <w:t>The decision to make</w:t>
      </w:r>
    </w:p>
    <w:p>
      <w:r>
        <w:t>Start with a course-level experiment, not a new university or a new learning-management system.</w:t>
      </w:r>
    </w:p>
    <w:p>
      <w:pPr>
        <w:pStyle w:val="Heading2"/>
      </w:pPr>
      <w:r>
        <w:t>The operational proposition</w:t>
      </w:r>
    </w:p>
    <w:p>
      <w:r>
        <w:t>Add a reasoning-evidence layer to one existing module. Keep its disciplinary content, qualified instructor, normal learning supports, and institutional authority. Change what learners must demonstrate: not only a submitted answer, but a defensible model, a test against evidence, an accountable revision, and performance on a new problem.</w:t>
      </w:r>
    </w:p>
    <w:p>
      <w:pPr>
        <w:pStyle w:val="Heading2"/>
      </w:pPr>
      <w:r>
        <w:t>Pilot charter</w:t>
      </w:r>
    </w:p>
    <w:tbl>
      <w:tblPr>
        <w:tblW w:type="auto" w:w="0"/>
        <w:jc w:val="center"/>
        <w:tblLayout w:type="fixed"/>
        <w:tblLook w:firstColumn="1" w:firstRow="1" w:lastColumn="0" w:lastRow="0" w:noHBand="0" w:noVBand="1" w:val="04A0"/>
      </w:tblPr>
      <w:tblGrid>
        <w:gridCol w:w="1728"/>
        <w:gridCol w:w="8352"/>
      </w:tblGrid>
      <w:tr>
        <w:trPr>
          <w:cantSplit/>
          <w:tblHeader/>
        </w:trPr>
        <w:tc>
          <w:tcPr>
            <w:tcW w:type="dxa" w:w="1728"/>
            <w:vAlign w:val="center"/>
            <w:tcMar>
              <w:top w:w="80" w:type="dxa"/>
              <w:left w:w="80" w:type="dxa"/>
              <w:bottom w:w="80" w:type="dxa"/>
              <w:right w:w="80" w:type="dxa"/>
            </w:tcMar>
            <w:shd w:fill="243B2B"/>
          </w:tcPr>
          <w:p>
            <w:pPr>
              <w:spacing w:after="40" w:before="40" w:line="245" w:lineRule="auto"/>
            </w:pPr>
            <w:r>
              <w:rPr>
                <w:b/>
                <w:color w:val="FFFFFF"/>
                <w:sz w:val="20"/>
              </w:rPr>
              <w:t>Field</w:t>
            </w:r>
          </w:p>
        </w:tc>
        <w:tc>
          <w:tcPr>
            <w:tcW w:type="dxa" w:w="8352"/>
            <w:vAlign w:val="center"/>
            <w:tcMar>
              <w:top w:w="80" w:type="dxa"/>
              <w:left w:w="80" w:type="dxa"/>
              <w:bottom w:w="80" w:type="dxa"/>
              <w:right w:w="80" w:type="dxa"/>
            </w:tcMar>
            <w:shd w:fill="243B2B"/>
          </w:tcPr>
          <w:p>
            <w:pPr>
              <w:spacing w:after="40" w:before="40" w:line="245" w:lineRule="auto"/>
            </w:pPr>
            <w:r>
              <w:rPr>
                <w:b/>
                <w:color w:val="FFFFFF"/>
                <w:sz w:val="20"/>
              </w:rPr>
              <w:t>Proposed decision</w:t>
            </w:r>
          </w:p>
        </w:tc>
      </w:tr>
      <w:tr>
        <w:trPr>
          <w:cantSplit/>
        </w:trPr>
        <w:tc>
          <w:tcPr>
            <w:tcW w:type="dxa" w:w="1728"/>
            <w:vAlign w:val="center"/>
            <w:tcMar>
              <w:top w:w="80" w:type="dxa"/>
              <w:left w:w="80" w:type="dxa"/>
              <w:bottom w:w="80" w:type="dxa"/>
              <w:right w:w="80" w:type="dxa"/>
            </w:tcMar>
            <w:shd w:fill="F1F4F0"/>
          </w:tcPr>
          <w:p>
            <w:pPr>
              <w:spacing w:after="40" w:before="40" w:line="245" w:lineRule="auto"/>
            </w:pPr>
            <w:r>
              <w:rPr>
                <w:sz w:val="20"/>
              </w:rPr>
              <w:t>Sponsor</w:t>
            </w:r>
          </w:p>
        </w:tc>
        <w:tc>
          <w:tcPr>
            <w:tcW w:type="dxa" w:w="8352"/>
            <w:vAlign w:val="center"/>
            <w:tcMar>
              <w:top w:w="80" w:type="dxa"/>
              <w:left w:w="80" w:type="dxa"/>
              <w:bottom w:w="80" w:type="dxa"/>
              <w:right w:w="80" w:type="dxa"/>
            </w:tcMar>
            <w:shd w:fill="F1F4F0"/>
          </w:tcPr>
          <w:p>
            <w:pPr>
              <w:spacing w:after="40" w:before="40" w:line="245" w:lineRule="auto"/>
            </w:pPr>
            <w:r>
              <w:rPr>
                <w:sz w:val="20"/>
              </w:rPr>
              <w:t>One faculty or professional-learning sponsor with authority to approve a low-stakes pilot.</w:t>
            </w:r>
          </w:p>
        </w:tc>
      </w:tr>
      <w:tr>
        <w:trPr>
          <w:cantSplit/>
        </w:trPr>
        <w:tc>
          <w:tcPr>
            <w:tcW w:type="dxa" w:w="1728"/>
            <w:vAlign w:val="center"/>
            <w:tcMar>
              <w:top w:w="80" w:type="dxa"/>
              <w:left w:w="80" w:type="dxa"/>
              <w:bottom w:w="80" w:type="dxa"/>
              <w:right w:w="80" w:type="dxa"/>
            </w:tcMar>
            <w:shd w:fill="FFFFFF"/>
          </w:tcPr>
          <w:p>
            <w:pPr>
              <w:spacing w:after="40" w:before="40" w:line="245" w:lineRule="auto"/>
            </w:pPr>
            <w:r>
              <w:rPr>
                <w:sz w:val="20"/>
              </w:rPr>
              <w:t>Audience</w:t>
            </w:r>
          </w:p>
        </w:tc>
        <w:tc>
          <w:tcPr>
            <w:tcW w:type="dxa" w:w="8352"/>
            <w:vAlign w:val="center"/>
            <w:tcMar>
              <w:top w:w="80" w:type="dxa"/>
              <w:left w:w="80" w:type="dxa"/>
              <w:bottom w:w="80" w:type="dxa"/>
              <w:right w:w="80" w:type="dxa"/>
            </w:tcMar>
            <w:shd w:fill="FFFFFF"/>
          </w:tcPr>
          <w:p>
            <w:pPr>
              <w:spacing w:after="40" w:before="40" w:line="245" w:lineRule="auto"/>
            </w:pPr>
            <w:r>
              <w:rPr>
                <w:sz w:val="20"/>
              </w:rPr>
              <w:t>20 adult learners with documented prerequisites. Do not claim representation of all college students.</w:t>
            </w:r>
          </w:p>
        </w:tc>
      </w:tr>
      <w:tr>
        <w:trPr>
          <w:cantSplit/>
        </w:trPr>
        <w:tc>
          <w:tcPr>
            <w:tcW w:type="dxa" w:w="1728"/>
            <w:vAlign w:val="center"/>
            <w:tcMar>
              <w:top w:w="80" w:type="dxa"/>
              <w:left w:w="80" w:type="dxa"/>
              <w:bottom w:w="80" w:type="dxa"/>
              <w:right w:w="80" w:type="dxa"/>
            </w:tcMar>
            <w:shd w:fill="F1F4F0"/>
          </w:tcPr>
          <w:p>
            <w:pPr>
              <w:spacing w:after="40" w:before="40" w:line="245" w:lineRule="auto"/>
            </w:pPr>
            <w:r>
              <w:rPr>
                <w:sz w:val="20"/>
              </w:rPr>
              <w:t>Question</w:t>
            </w:r>
          </w:p>
        </w:tc>
        <w:tc>
          <w:tcPr>
            <w:tcW w:type="dxa" w:w="8352"/>
            <w:vAlign w:val="center"/>
            <w:tcMar>
              <w:top w:w="80" w:type="dxa"/>
              <w:left w:w="80" w:type="dxa"/>
              <w:bottom w:w="80" w:type="dxa"/>
              <w:right w:w="80" w:type="dxa"/>
            </w:tcMar>
            <w:shd w:fill="F1F4F0"/>
          </w:tcPr>
          <w:p>
            <w:pPr>
              <w:spacing w:after="40" w:before="40" w:line="245" w:lineRule="auto"/>
            </w:pPr>
            <w:r>
              <w:rPr>
                <w:sz w:val="20"/>
              </w:rPr>
              <w:t>Does the CERPA reasoning workflow improve independent transfer, with acceptable workload, compared with equally supported problem-based instruction?</w:t>
            </w:r>
          </w:p>
        </w:tc>
      </w:tr>
      <w:tr>
        <w:trPr>
          <w:cantSplit/>
        </w:trPr>
        <w:tc>
          <w:tcPr>
            <w:tcW w:type="dxa" w:w="1728"/>
            <w:vAlign w:val="center"/>
            <w:tcMar>
              <w:top w:w="80" w:type="dxa"/>
              <w:left w:w="80" w:type="dxa"/>
              <w:bottom w:w="80" w:type="dxa"/>
              <w:right w:w="80" w:type="dxa"/>
            </w:tcMar>
            <w:shd w:fill="FFFFFF"/>
          </w:tcPr>
          <w:p>
            <w:pPr>
              <w:spacing w:after="40" w:before="40" w:line="245" w:lineRule="auto"/>
            </w:pPr>
            <w:r>
              <w:rPr>
                <w:sz w:val="20"/>
              </w:rPr>
              <w:t>Intervention</w:t>
            </w:r>
          </w:p>
        </w:tc>
        <w:tc>
          <w:tcPr>
            <w:tcW w:type="dxa" w:w="8352"/>
            <w:vAlign w:val="center"/>
            <w:tcMar>
              <w:top w:w="80" w:type="dxa"/>
              <w:left w:w="80" w:type="dxa"/>
              <w:bottom w:w="80" w:type="dxa"/>
              <w:right w:w="80" w:type="dxa"/>
            </w:tcMar>
            <w:shd w:fill="FFFFFF"/>
          </w:tcPr>
          <w:p>
            <w:pPr>
              <w:spacing w:after="40" w:before="40" w:line="245" w:lineRule="auto"/>
            </w:pPr>
            <w:r>
              <w:rPr>
                <w:sz w:val="20"/>
              </w:rPr>
              <w:t>Explicit claims, forecast boundaries, evidence review, authorized revision, and replay. AI access is held constant across groups.</w:t>
            </w:r>
          </w:p>
        </w:tc>
      </w:tr>
      <w:tr>
        <w:trPr>
          <w:cantSplit/>
        </w:trPr>
        <w:tc>
          <w:tcPr>
            <w:tcW w:type="dxa" w:w="1728"/>
            <w:vAlign w:val="center"/>
            <w:tcMar>
              <w:top w:w="80" w:type="dxa"/>
              <w:left w:w="80" w:type="dxa"/>
              <w:bottom w:w="80" w:type="dxa"/>
              <w:right w:w="80" w:type="dxa"/>
            </w:tcMar>
            <w:shd w:fill="F1F4F0"/>
          </w:tcPr>
          <w:p>
            <w:pPr>
              <w:spacing w:after="40" w:before="40" w:line="245" w:lineRule="auto"/>
            </w:pPr>
            <w:r>
              <w:rPr>
                <w:sz w:val="20"/>
              </w:rPr>
              <w:t>Decision after pilot</w:t>
            </w:r>
          </w:p>
        </w:tc>
        <w:tc>
          <w:tcPr>
            <w:tcW w:type="dxa" w:w="8352"/>
            <w:vAlign w:val="center"/>
            <w:tcMar>
              <w:top w:w="80" w:type="dxa"/>
              <w:left w:w="80" w:type="dxa"/>
              <w:bottom w:w="80" w:type="dxa"/>
              <w:right w:w="80" w:type="dxa"/>
            </w:tcMar>
            <w:shd w:fill="F1F4F0"/>
          </w:tcPr>
          <w:p>
            <w:pPr>
              <w:spacing w:after="40" w:before="40" w:line="245" w:lineRule="auto"/>
            </w:pPr>
            <w:r>
              <w:rPr>
                <w:sz w:val="20"/>
              </w:rPr>
              <w:t>Stop, repair, or authorize a larger study. Do not grant accreditation, replace grades, or market efficacy from the feasibility pilot.</w:t>
            </w:r>
          </w:p>
        </w:tc>
      </w:tr>
    </w:tbl>
    <w:p>
      <w:pPr>
        <w:spacing w:after="0"/>
      </w:pPr>
    </w:p>
    <w:p>
      <w:pPr>
        <w:pStyle w:val="Heading2"/>
      </w:pPr>
      <w:r>
        <w:t>Acceptance at the end of preparation</w:t>
      </w:r>
    </w:p>
    <w:p>
      <w:r>
        <w:t>The sponsor names accountable owners; the instructor locks learning objectives and prerequisites; assessors lock tasks and rubric; the institution resolves ethics, accessibility, and privacy review; the data steward confirms access and backup. Only then may recruitment begin.</w:t>
      </w:r>
    </w:p>
    <w:p>
      <w:pPr>
        <w:pStyle w:val="Heading2"/>
      </w:pPr>
      <w:r>
        <w:t>Reading route</w:t>
      </w:r>
    </w:p>
    <w:p>
      <w:r>
        <w:t>Leaders: sections 1, 2, 8, 12, and 13. Instructors: sections 3–7 and the field card. Assessors: sections 7–8. Architects and stewards: sections 9–12. Section 15 contains the research references.</w:t>
      </w:r>
    </w:p>
    <w:tbl>
      <w:tblPr>
        <w:tblW w:type="auto" w:w="0"/>
        <w:jc w:val="center"/>
        <w:tblLook w:firstColumn="1" w:firstRow="1" w:lastColumn="0" w:lastRow="0" w:noHBand="0" w:noVBand="1" w:val="04A0"/>
      </w:tblPr>
      <w:tblGrid>
        <w:gridCol w:w="10166"/>
      </w:tblGrid>
      <w:tr>
        <w:tc>
          <w:tcPr>
            <w:tcW w:type="dxa" w:w="10166"/>
            <w:shd w:fill="EDF2ED"/>
          </w:tcPr>
          <w:p>
            <w:r>
              <w:rPr>
                <w:sz w:val="22"/>
              </w:rPr>
            </w:r>
            <w:r>
              <w:rPr>
                <w:b/>
                <w:color w:val="243B2B"/>
                <w:sz w:val="22"/>
              </w:rPr>
              <w:t>Evidence correction</w:t>
              <w:br/>
            </w:r>
            <w:r>
              <w:rPr>
                <w:sz w:val="22"/>
              </w:rPr>
              <w:t>Earlier conversational percentages about college courses and faculty redesign were not verified. They are withdrawn from the basis of this playbook. The pilot does not depend on claiming that most universities lack first-principles teaching.</w:t>
            </w:r>
          </w:p>
        </w:tc>
      </w:tr>
    </w:tbl>
    <w:p>
      <w:pPr>
        <w:spacing w:after="0"/>
      </w:pPr>
    </w:p>
    <w:p>
      <w:r>
        <w:br w:type="page"/>
      </w:r>
    </w:p>
    <w:p>
      <w:pPr>
        <w:pStyle w:val="Caption"/>
      </w:pPr>
      <w:r>
        <w:t>02  /  IMPLEMENTATION PLAYBOOK</w:t>
      </w:r>
    </w:p>
    <w:p>
      <w:pPr>
        <w:pStyle w:val="Heading1"/>
      </w:pPr>
      <w:r>
        <w:t>What supports the design</w:t>
      </w:r>
    </w:p>
    <w:p>
      <w:r>
        <w:t>Research supports several ingredients. It does not yet establish that the combined Σ FIRST intervention works.</w:t>
      </w:r>
    </w:p>
    <w:tbl>
      <w:tblPr>
        <w:tblW w:type="auto" w:w="0"/>
        <w:jc w:val="center"/>
        <w:tblLayout w:type="fixed"/>
        <w:tblLook w:firstColumn="1" w:firstRow="1" w:lastColumn="0" w:lastRow="0" w:noHBand="0" w:noVBand="1" w:val="04A0"/>
      </w:tblPr>
      <w:tblGrid>
        <w:gridCol w:w="1872"/>
        <w:gridCol w:w="4104"/>
        <w:gridCol w:w="4104"/>
      </w:tblGrid>
      <w:tr>
        <w:trPr>
          <w:cantSplit/>
          <w:tblHeader/>
        </w:trPr>
        <w:tc>
          <w:tcPr>
            <w:tcW w:type="dxa" w:w="1872"/>
            <w:vAlign w:val="center"/>
            <w:tcMar>
              <w:top w:w="80" w:type="dxa"/>
              <w:left w:w="80" w:type="dxa"/>
              <w:bottom w:w="80" w:type="dxa"/>
              <w:right w:w="80" w:type="dxa"/>
            </w:tcMar>
            <w:shd w:fill="243B2B"/>
          </w:tcPr>
          <w:p>
            <w:pPr>
              <w:spacing w:after="40" w:before="40" w:line="245" w:lineRule="auto"/>
            </w:pPr>
            <w:r>
              <w:rPr>
                <w:b/>
                <w:color w:val="FFFFFF"/>
                <w:sz w:val="19"/>
              </w:rPr>
              <w:t>Evidence</w:t>
            </w:r>
          </w:p>
        </w:tc>
        <w:tc>
          <w:tcPr>
            <w:tcW w:type="dxa" w:w="4104"/>
            <w:vAlign w:val="center"/>
            <w:tcMar>
              <w:top w:w="80" w:type="dxa"/>
              <w:left w:w="80" w:type="dxa"/>
              <w:bottom w:w="80" w:type="dxa"/>
              <w:right w:w="80" w:type="dxa"/>
            </w:tcMar>
            <w:shd w:fill="243B2B"/>
          </w:tcPr>
          <w:p>
            <w:pPr>
              <w:spacing w:after="40" w:before="40" w:line="245" w:lineRule="auto"/>
            </w:pPr>
            <w:r>
              <w:rPr>
                <w:b/>
                <w:color w:val="FFFFFF"/>
                <w:sz w:val="19"/>
              </w:rPr>
              <w:t>What it supports</w:t>
            </w:r>
          </w:p>
        </w:tc>
        <w:tc>
          <w:tcPr>
            <w:tcW w:type="dxa" w:w="4104"/>
            <w:vAlign w:val="center"/>
            <w:tcMar>
              <w:top w:w="80" w:type="dxa"/>
              <w:left w:w="80" w:type="dxa"/>
              <w:bottom w:w="80" w:type="dxa"/>
              <w:right w:w="80" w:type="dxa"/>
            </w:tcMar>
            <w:shd w:fill="243B2B"/>
          </w:tcPr>
          <w:p>
            <w:pPr>
              <w:spacing w:after="40" w:before="40" w:line="245" w:lineRule="auto"/>
            </w:pPr>
            <w:r>
              <w:rPr>
                <w:b/>
                <w:color w:val="FFFFFF"/>
                <w:sz w:val="19"/>
              </w:rPr>
              <w:t>Boundary</w:t>
            </w:r>
          </w:p>
        </w:tc>
      </w:tr>
      <w:tr>
        <w:trPr>
          <w:cantSplit/>
        </w:trPr>
        <w:tc>
          <w:tcPr>
            <w:tcW w:type="dxa" w:w="1872"/>
            <w:vAlign w:val="center"/>
            <w:tcMar>
              <w:top w:w="80" w:type="dxa"/>
              <w:left w:w="80" w:type="dxa"/>
              <w:bottom w:w="80" w:type="dxa"/>
              <w:right w:w="80" w:type="dxa"/>
            </w:tcMar>
            <w:shd w:fill="F1F4F0"/>
          </w:tcPr>
          <w:p>
            <w:pPr>
              <w:spacing w:after="40" w:before="40" w:line="245" w:lineRule="auto"/>
            </w:pPr>
            <w:r>
              <w:rPr>
                <w:sz w:val="19"/>
              </w:rPr>
              <w:t>[1] National Academies, 2018</w:t>
            </w:r>
          </w:p>
        </w:tc>
        <w:tc>
          <w:tcPr>
            <w:tcW w:type="dxa" w:w="4104"/>
            <w:vAlign w:val="center"/>
            <w:tcMar>
              <w:top w:w="80" w:type="dxa"/>
              <w:left w:w="80" w:type="dxa"/>
              <w:bottom w:w="80" w:type="dxa"/>
              <w:right w:w="80" w:type="dxa"/>
            </w:tcMar>
            <w:shd w:fill="F1F4F0"/>
          </w:tcPr>
          <w:p>
            <w:pPr>
              <w:spacing w:after="40" w:before="40" w:line="245" w:lineRule="auto"/>
            </w:pPr>
            <w:r>
              <w:rPr>
                <w:sz w:val="19"/>
              </w:rPr>
              <w:t>Prior knowledge and instructional support matter when learners explain and reason.</w:t>
            </w:r>
          </w:p>
        </w:tc>
        <w:tc>
          <w:tcPr>
            <w:tcW w:type="dxa" w:w="4104"/>
            <w:vAlign w:val="center"/>
            <w:tcMar>
              <w:top w:w="80" w:type="dxa"/>
              <w:left w:w="80" w:type="dxa"/>
              <w:bottom w:w="80" w:type="dxa"/>
              <w:right w:w="80" w:type="dxa"/>
            </w:tcMar>
            <w:shd w:fill="F1F4F0"/>
          </w:tcPr>
          <w:p>
            <w:pPr>
              <w:spacing w:after="40" w:before="40" w:line="245" w:lineRule="auto"/>
            </w:pPr>
            <w:r>
              <w:rPr>
                <w:sz w:val="19"/>
              </w:rPr>
              <w:t>Do not replace foundational instruction with unsupported discovery.</w:t>
            </w:r>
          </w:p>
        </w:tc>
      </w:tr>
      <w:tr>
        <w:trPr>
          <w:cantSplit/>
        </w:trPr>
        <w:tc>
          <w:tcPr>
            <w:tcW w:type="dxa" w:w="1872"/>
            <w:vAlign w:val="center"/>
            <w:tcMar>
              <w:top w:w="80" w:type="dxa"/>
              <w:left w:w="80" w:type="dxa"/>
              <w:bottom w:w="80" w:type="dxa"/>
              <w:right w:w="80" w:type="dxa"/>
            </w:tcMar>
            <w:shd w:fill="FFFFFF"/>
          </w:tcPr>
          <w:p>
            <w:pPr>
              <w:spacing w:after="40" w:before="40" w:line="245" w:lineRule="auto"/>
            </w:pPr>
            <w:r>
              <w:rPr>
                <w:sz w:val="19"/>
              </w:rPr>
              <w:t>[2] Freeman et al., 2014</w:t>
            </w:r>
          </w:p>
        </w:tc>
        <w:tc>
          <w:tcPr>
            <w:tcW w:type="dxa" w:w="4104"/>
            <w:vAlign w:val="center"/>
            <w:tcMar>
              <w:top w:w="80" w:type="dxa"/>
              <w:left w:w="80" w:type="dxa"/>
              <w:bottom w:w="80" w:type="dxa"/>
              <w:right w:w="80" w:type="dxa"/>
            </w:tcMar>
            <w:shd w:fill="FFFFFF"/>
          </w:tcPr>
          <w:p>
            <w:pPr>
              <w:spacing w:after="40" w:before="40" w:line="245" w:lineRule="auto"/>
            </w:pPr>
            <w:r>
              <w:rPr>
                <w:sz w:val="19"/>
              </w:rPr>
              <w:t>A meta-analysis of 225 undergraduate STEM studies found better performance under active learning than traditional lecturing.</w:t>
            </w:r>
          </w:p>
        </w:tc>
        <w:tc>
          <w:tcPr>
            <w:tcW w:type="dxa" w:w="4104"/>
            <w:vAlign w:val="center"/>
            <w:tcMar>
              <w:top w:w="80" w:type="dxa"/>
              <w:left w:w="80" w:type="dxa"/>
              <w:bottom w:w="80" w:type="dxa"/>
              <w:right w:w="80" w:type="dxa"/>
            </w:tcMar>
            <w:shd w:fill="FFFFFF"/>
          </w:tcPr>
          <w:p>
            <w:pPr>
              <w:spacing w:after="40" w:before="40" w:line="245" w:lineRule="auto"/>
            </w:pPr>
            <w:r>
              <w:rPr>
                <w:sz w:val="19"/>
              </w:rPr>
              <w:t>Active learning is not synonymous with first-principles reasoning, and this is not an estimate of all college courses.</w:t>
            </w:r>
          </w:p>
        </w:tc>
      </w:tr>
      <w:tr>
        <w:trPr>
          <w:cantSplit/>
        </w:trPr>
        <w:tc>
          <w:tcPr>
            <w:tcW w:type="dxa" w:w="1872"/>
            <w:vAlign w:val="center"/>
            <w:tcMar>
              <w:top w:w="80" w:type="dxa"/>
              <w:left w:w="80" w:type="dxa"/>
              <w:bottom w:w="80" w:type="dxa"/>
              <w:right w:w="80" w:type="dxa"/>
            </w:tcMar>
            <w:shd w:fill="F1F4F0"/>
          </w:tcPr>
          <w:p>
            <w:pPr>
              <w:spacing w:after="40" w:before="40" w:line="245" w:lineRule="auto"/>
            </w:pPr>
            <w:r>
              <w:rPr>
                <w:sz w:val="19"/>
              </w:rPr>
              <w:t>[3] Bastani et al., 2025</w:t>
            </w:r>
          </w:p>
        </w:tc>
        <w:tc>
          <w:tcPr>
            <w:tcW w:type="dxa" w:w="4104"/>
            <w:vAlign w:val="center"/>
            <w:tcMar>
              <w:top w:w="80" w:type="dxa"/>
              <w:left w:w="80" w:type="dxa"/>
              <w:bottom w:w="80" w:type="dxa"/>
              <w:right w:w="80" w:type="dxa"/>
            </w:tcMar>
            <w:shd w:fill="F1F4F0"/>
          </w:tcPr>
          <w:p>
            <w:pPr>
              <w:spacing w:after="40" w:before="40" w:line="245" w:lineRule="auto"/>
            </w:pPr>
            <w:r>
              <w:rPr>
                <w:sz w:val="19"/>
              </w:rPr>
              <w:t>A high-school mathematics experiment distinguishes assisted practice performance from subsequent unaided learning; safeguards mattered.</w:t>
            </w:r>
          </w:p>
        </w:tc>
        <w:tc>
          <w:tcPr>
            <w:tcW w:type="dxa" w:w="4104"/>
            <w:vAlign w:val="center"/>
            <w:tcMar>
              <w:top w:w="80" w:type="dxa"/>
              <w:left w:w="80" w:type="dxa"/>
              <w:bottom w:w="80" w:type="dxa"/>
              <w:right w:w="80" w:type="dxa"/>
            </w:tcMar>
            <w:shd w:fill="F1F4F0"/>
          </w:tcPr>
          <w:p>
            <w:pPr>
              <w:spacing w:after="40" w:before="40" w:line="245" w:lineRule="auto"/>
            </w:pPr>
            <w:r>
              <w:rPr>
                <w:sz w:val="19"/>
              </w:rPr>
              <w:t>Not a college-wide result and not evidence that all AI use harms learning.</w:t>
            </w:r>
          </w:p>
        </w:tc>
      </w:tr>
      <w:tr>
        <w:trPr>
          <w:cantSplit/>
        </w:trPr>
        <w:tc>
          <w:tcPr>
            <w:tcW w:type="dxa" w:w="1872"/>
            <w:vAlign w:val="center"/>
            <w:tcMar>
              <w:top w:w="80" w:type="dxa"/>
              <w:left w:w="80" w:type="dxa"/>
              <w:bottom w:w="80" w:type="dxa"/>
              <w:right w:w="80" w:type="dxa"/>
            </w:tcMar>
            <w:shd w:fill="FFFFFF"/>
          </w:tcPr>
          <w:p>
            <w:pPr>
              <w:spacing w:after="40" w:before="40" w:line="245" w:lineRule="auto"/>
            </w:pPr>
            <w:r>
              <w:rPr>
                <w:sz w:val="19"/>
              </w:rPr>
              <w:t>[4] Kestin et al., 2025</w:t>
            </w:r>
          </w:p>
        </w:tc>
        <w:tc>
          <w:tcPr>
            <w:tcW w:type="dxa" w:w="4104"/>
            <w:vAlign w:val="center"/>
            <w:tcMar>
              <w:top w:w="80" w:type="dxa"/>
              <w:left w:w="80" w:type="dxa"/>
              <w:bottom w:w="80" w:type="dxa"/>
              <w:right w:w="80" w:type="dxa"/>
            </w:tcMar>
            <w:shd w:fill="FFFFFF"/>
          </w:tcPr>
          <w:p>
            <w:pPr>
              <w:spacing w:after="40" w:before="40" w:line="245" w:lineRule="auto"/>
            </w:pPr>
            <w:r>
              <w:rPr>
                <w:sz w:val="19"/>
              </w:rPr>
              <w:t>A designed AI tutor improved immediate learning outcomes in a particular college physics experiment.</w:t>
            </w:r>
          </w:p>
        </w:tc>
        <w:tc>
          <w:tcPr>
            <w:tcW w:type="dxa" w:w="4104"/>
            <w:vAlign w:val="center"/>
            <w:tcMar>
              <w:top w:w="80" w:type="dxa"/>
              <w:left w:w="80" w:type="dxa"/>
              <w:bottom w:w="80" w:type="dxa"/>
              <w:right w:w="80" w:type="dxa"/>
            </w:tcMar>
            <w:shd w:fill="FFFFFF"/>
          </w:tcPr>
          <w:p>
            <w:pPr>
              <w:spacing w:after="40" w:before="40" w:line="245" w:lineRule="auto"/>
            </w:pPr>
            <w:r>
              <w:rPr>
                <w:sz w:val="19"/>
              </w:rPr>
              <w:t>Does not establish long-term retention, general transfer, or Σ FIRST effectiveness.</w:t>
            </w:r>
          </w:p>
        </w:tc>
      </w:tr>
      <w:tr>
        <w:trPr>
          <w:cantSplit/>
        </w:trPr>
        <w:tc>
          <w:tcPr>
            <w:tcW w:type="dxa" w:w="1872"/>
            <w:vAlign w:val="center"/>
            <w:tcMar>
              <w:top w:w="80" w:type="dxa"/>
              <w:left w:w="80" w:type="dxa"/>
              <w:bottom w:w="80" w:type="dxa"/>
              <w:right w:w="80" w:type="dxa"/>
            </w:tcMar>
            <w:shd w:fill="F1F4F0"/>
          </w:tcPr>
          <w:p>
            <w:pPr>
              <w:spacing w:after="40" w:before="40" w:line="245" w:lineRule="auto"/>
            </w:pPr>
            <w:r>
              <w:rPr>
                <w:sz w:val="19"/>
              </w:rPr>
              <w:t>[5] MIT NEET</w:t>
            </w:r>
          </w:p>
        </w:tc>
        <w:tc>
          <w:tcPr>
            <w:tcW w:type="dxa" w:w="4104"/>
            <w:vAlign w:val="center"/>
            <w:tcMar>
              <w:top w:w="80" w:type="dxa"/>
              <w:left w:w="80" w:type="dxa"/>
              <w:bottom w:w="80" w:type="dxa"/>
              <w:right w:w="80" w:type="dxa"/>
            </w:tcMar>
            <w:shd w:fill="F1F4F0"/>
          </w:tcPr>
          <w:p>
            <w:pPr>
              <w:spacing w:after="40" w:before="40" w:line="245" w:lineRule="auto"/>
            </w:pPr>
            <w:r>
              <w:rPr>
                <w:sz w:val="19"/>
              </w:rPr>
              <w:t>A current institutional example combines disciplinary study with cross-departmental, project-centric learning.</w:t>
            </w:r>
          </w:p>
        </w:tc>
        <w:tc>
          <w:tcPr>
            <w:tcW w:type="dxa" w:w="4104"/>
            <w:vAlign w:val="center"/>
            <w:tcMar>
              <w:top w:w="80" w:type="dxa"/>
              <w:left w:w="80" w:type="dxa"/>
              <w:bottom w:w="80" w:type="dxa"/>
              <w:right w:w="80" w:type="dxa"/>
            </w:tcMar>
            <w:shd w:fill="F1F4F0"/>
          </w:tcPr>
          <w:p>
            <w:pPr>
              <w:spacing w:after="40" w:before="40" w:line="245" w:lineRule="auto"/>
            </w:pPr>
            <w:r>
              <w:rPr>
                <w:sz w:val="19"/>
              </w:rPr>
              <w:t>An example of existing practice, not evidence that a nationwide return is underway.</w:t>
            </w:r>
          </w:p>
        </w:tc>
      </w:tr>
      <w:tr>
        <w:trPr>
          <w:cantSplit/>
        </w:trPr>
        <w:tc>
          <w:tcPr>
            <w:tcW w:type="dxa" w:w="1872"/>
            <w:vAlign w:val="center"/>
            <w:tcMar>
              <w:top w:w="80" w:type="dxa"/>
              <w:left w:w="80" w:type="dxa"/>
              <w:bottom w:w="80" w:type="dxa"/>
              <w:right w:w="80" w:type="dxa"/>
            </w:tcMar>
            <w:shd w:fill="FFFFFF"/>
          </w:tcPr>
          <w:p>
            <w:pPr>
              <w:spacing w:after="40" w:before="40" w:line="245" w:lineRule="auto"/>
            </w:pPr>
            <w:r>
              <w:rPr>
                <w:sz w:val="19"/>
              </w:rPr>
              <w:t>[6] Testing Standards, 2014</w:t>
            </w:r>
          </w:p>
        </w:tc>
        <w:tc>
          <w:tcPr>
            <w:tcW w:type="dxa" w:w="4104"/>
            <w:vAlign w:val="center"/>
            <w:tcMar>
              <w:top w:w="80" w:type="dxa"/>
              <w:left w:w="80" w:type="dxa"/>
              <w:bottom w:w="80" w:type="dxa"/>
              <w:right w:w="80" w:type="dxa"/>
            </w:tcMar>
            <w:shd w:fill="FFFFFF"/>
          </w:tcPr>
          <w:p>
            <w:pPr>
              <w:spacing w:after="40" w:before="40" w:line="245" w:lineRule="auto"/>
            </w:pPr>
            <w:r>
              <w:rPr>
                <w:sz w:val="19"/>
              </w:rPr>
              <w:t>Score interpretations require evidence appropriate to their intended use.</w:t>
            </w:r>
          </w:p>
        </w:tc>
        <w:tc>
          <w:tcPr>
            <w:tcW w:type="dxa" w:w="4104"/>
            <w:vAlign w:val="center"/>
            <w:tcMar>
              <w:top w:w="80" w:type="dxa"/>
              <w:left w:w="80" w:type="dxa"/>
              <w:bottom w:w="80" w:type="dxa"/>
              <w:right w:w="80" w:type="dxa"/>
            </w:tcMar>
            <w:shd w:fill="FFFFFF"/>
          </w:tcPr>
          <w:p>
            <w:pPr>
              <w:spacing w:after="40" w:before="40" w:line="245" w:lineRule="auto"/>
            </w:pPr>
            <w:r>
              <w:rPr>
                <w:sz w:val="19"/>
              </w:rPr>
              <w:t>A new rubric cannot be treated as a validated intelligence measure or credential.</w:t>
            </w:r>
          </w:p>
        </w:tc>
      </w:tr>
      <w:tr>
        <w:trPr>
          <w:cantSplit/>
        </w:trPr>
        <w:tc>
          <w:tcPr>
            <w:tcW w:type="dxa" w:w="1872"/>
            <w:vAlign w:val="center"/>
            <w:tcMar>
              <w:top w:w="80" w:type="dxa"/>
              <w:left w:w="80" w:type="dxa"/>
              <w:bottom w:w="80" w:type="dxa"/>
              <w:right w:w="80" w:type="dxa"/>
            </w:tcMar>
            <w:shd w:fill="F1F4F0"/>
          </w:tcPr>
          <w:p>
            <w:pPr>
              <w:spacing w:after="40" w:before="40" w:line="245" w:lineRule="auto"/>
            </w:pPr>
            <w:r>
              <w:rPr>
                <w:sz w:val="19"/>
              </w:rPr>
              <w:t>[7] UNESCO guidance</w:t>
            </w:r>
          </w:p>
        </w:tc>
        <w:tc>
          <w:tcPr>
            <w:tcW w:type="dxa" w:w="4104"/>
            <w:vAlign w:val="center"/>
            <w:tcMar>
              <w:top w:w="80" w:type="dxa"/>
              <w:left w:w="80" w:type="dxa"/>
              <w:bottom w:w="80" w:type="dxa"/>
              <w:right w:w="80" w:type="dxa"/>
            </w:tcMar>
            <w:shd w:fill="F1F4F0"/>
          </w:tcPr>
          <w:p>
            <w:pPr>
              <w:spacing w:after="40" w:before="40" w:line="245" w:lineRule="auto"/>
            </w:pPr>
            <w:r>
              <w:rPr>
                <w:sz w:val="19"/>
              </w:rPr>
              <w:t>Human agency, privacy, inclusion, and institutional evaluation belong in educational AI design.</w:t>
            </w:r>
          </w:p>
        </w:tc>
        <w:tc>
          <w:tcPr>
            <w:tcW w:type="dxa" w:w="4104"/>
            <w:vAlign w:val="center"/>
            <w:tcMar>
              <w:top w:w="80" w:type="dxa"/>
              <w:left w:w="80" w:type="dxa"/>
              <w:bottom w:w="80" w:type="dxa"/>
              <w:right w:w="80" w:type="dxa"/>
            </w:tcMar>
            <w:shd w:fill="F1F4F0"/>
          </w:tcPr>
          <w:p>
            <w:pPr>
              <w:spacing w:after="40" w:before="40" w:line="245" w:lineRule="auto"/>
            </w:pPr>
            <w:r>
              <w:rPr>
                <w:sz w:val="19"/>
              </w:rPr>
              <w:t>Guidance is not a substitute for local approval or applicable requirements.</w:t>
            </w:r>
          </w:p>
        </w:tc>
      </w:tr>
    </w:tbl>
    <w:p>
      <w:pPr>
        <w:spacing w:after="0"/>
      </w:pPr>
    </w:p>
    <w:p>
      <w:pPr>
        <w:pStyle w:val="Heading2"/>
      </w:pPr>
      <w:r>
        <w:t>The hypothesis to test</w:t>
      </w:r>
    </w:p>
    <w:p>
      <w:r>
        <w:t>When learners repeatedly distinguish assumptions from evidence and revise models under explicit boundaries, they may become better at solving unfamiliar problems independently. That is a testable design hypothesis, not an established effect of Deep Sigma.</w:t>
      </w:r>
    </w:p>
    <w:p>
      <w:pPr>
        <w:pStyle w:val="Heading2"/>
      </w:pPr>
      <w:r>
        <w:t>The proposed contribution</w:t>
      </w:r>
    </w:p>
    <w:p>
      <w:r>
        <w:t>Σ FIRST joins familiar teaching practices to a traceable episode record. The practical question is whether this extra structure produces useful learning evidence without turning inquiry into paperwork. There is no claim of exclusive invention or superiority over existing educational approaches.</w:t>
      </w:r>
    </w:p>
    <w:p>
      <w:r>
        <w:br w:type="page"/>
      </w:r>
    </w:p>
    <w:p>
      <w:pPr>
        <w:pStyle w:val="Caption"/>
      </w:pPr>
      <w:r>
        <w:t>03  /  IMPLEMENTATION PLAYBOOK</w:t>
      </w:r>
    </w:p>
    <w:p>
      <w:pPr>
        <w:pStyle w:val="Heading1"/>
      </w:pPr>
      <w:r>
        <w:t>Design the learning experience</w:t>
      </w:r>
    </w:p>
    <w:p>
      <w:r>
        <w:t>Organize around a consequential problem while retaining the disciplines needed to understand it.</w:t>
      </w:r>
    </w:p>
    <w:p>
      <w:pPr>
        <w:pStyle w:val="Heading2"/>
      </w:pPr>
      <w:r>
        <w:t>Define first-principles reasoning operationally</w:t>
      </w:r>
    </w:p>
    <w:p>
      <w:r>
        <w:t>For this pilot, it means identifying the defensible starting points for a problem, labeling their epistemic status, deriving consequences, and testing those consequences. A starting point is not automatically an eternal truth. The learner must explain why it is acceptable here and when it ceases to apply.</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Mar>
              <w:top w:w="80" w:type="dxa"/>
              <w:left w:w="80" w:type="dxa"/>
              <w:bottom w:w="80" w:type="dxa"/>
              <w:right w:w="80" w:type="dxa"/>
            </w:tcMar>
            <w:shd w:fill="243B2B"/>
          </w:tcPr>
          <w:p>
            <w:pPr>
              <w:spacing w:after="40" w:before="40" w:line="245" w:lineRule="auto"/>
            </w:pPr>
            <w:r>
              <w:rPr>
                <w:b/>
                <w:color w:val="FFFFFF"/>
                <w:sz w:val="20"/>
              </w:rPr>
              <w:t>Starting point</w:t>
            </w:r>
          </w:p>
        </w:tc>
        <w:tc>
          <w:tcPr>
            <w:tcW w:type="dxa" w:w="7632"/>
            <w:vAlign w:val="center"/>
            <w:tcMar>
              <w:top w:w="80" w:type="dxa"/>
              <w:left w:w="80" w:type="dxa"/>
              <w:bottom w:w="80" w:type="dxa"/>
              <w:right w:w="80" w:type="dxa"/>
            </w:tcMar>
            <w:shd w:fill="243B2B"/>
          </w:tcPr>
          <w:p>
            <w:pPr>
              <w:spacing w:after="40" w:before="40" w:line="245" w:lineRule="auto"/>
            </w:pPr>
            <w:r>
              <w:rPr>
                <w:b/>
                <w:color w:val="FFFFFF"/>
                <w:sz w:val="20"/>
              </w:rPr>
              <w:t>Required treatment</w:t>
            </w:r>
          </w:p>
        </w:tc>
      </w:tr>
      <w:tr>
        <w:trPr>
          <w:cantSplit/>
        </w:trPr>
        <w:tc>
          <w:tcPr>
            <w:tcW w:type="dxa" w:w="2448"/>
            <w:vAlign w:val="center"/>
            <w:tcMar>
              <w:top w:w="80" w:type="dxa"/>
              <w:left w:w="80" w:type="dxa"/>
              <w:bottom w:w="80" w:type="dxa"/>
              <w:right w:w="80" w:type="dxa"/>
            </w:tcMar>
            <w:shd w:fill="F1F4F0"/>
          </w:tcPr>
          <w:p>
            <w:pPr>
              <w:spacing w:after="40" w:before="40" w:line="245" w:lineRule="auto"/>
            </w:pPr>
            <w:r>
              <w:rPr>
                <w:sz w:val="20"/>
              </w:rPr>
              <w:t>Definition or mathematical axiom</w:t>
            </w:r>
          </w:p>
        </w:tc>
        <w:tc>
          <w:tcPr>
            <w:tcW w:type="dxa" w:w="7632"/>
            <w:vAlign w:val="center"/>
            <w:tcMar>
              <w:top w:w="80" w:type="dxa"/>
              <w:left w:w="80" w:type="dxa"/>
              <w:bottom w:w="80" w:type="dxa"/>
              <w:right w:w="80" w:type="dxa"/>
            </w:tcMar>
            <w:shd w:fill="F1F4F0"/>
          </w:tcPr>
          <w:p>
            <w:pPr>
              <w:spacing w:after="40" w:before="40" w:line="245" w:lineRule="auto"/>
            </w:pPr>
            <w:r>
              <w:rPr>
                <w:sz w:val="20"/>
              </w:rPr>
              <w:t>State the system and definitions; show the derivation within that system.</w:t>
            </w:r>
          </w:p>
        </w:tc>
      </w:tr>
      <w:tr>
        <w:trPr>
          <w:cantSplit/>
        </w:trPr>
        <w:tc>
          <w:tcPr>
            <w:tcW w:type="dxa" w:w="2448"/>
            <w:vAlign w:val="center"/>
            <w:tcMar>
              <w:top w:w="80" w:type="dxa"/>
              <w:left w:w="80" w:type="dxa"/>
              <w:bottom w:w="80" w:type="dxa"/>
              <w:right w:w="80" w:type="dxa"/>
            </w:tcMar>
            <w:shd w:fill="FFFFFF"/>
          </w:tcPr>
          <w:p>
            <w:pPr>
              <w:spacing w:after="40" w:before="40" w:line="245" w:lineRule="auto"/>
            </w:pPr>
            <w:r>
              <w:rPr>
                <w:sz w:val="20"/>
              </w:rPr>
              <w:t>Empirical principle</w:t>
            </w:r>
          </w:p>
        </w:tc>
        <w:tc>
          <w:tcPr>
            <w:tcW w:type="dxa" w:w="7632"/>
            <w:vAlign w:val="center"/>
            <w:tcMar>
              <w:top w:w="80" w:type="dxa"/>
              <w:left w:w="80" w:type="dxa"/>
              <w:bottom w:w="80" w:type="dxa"/>
              <w:right w:w="80" w:type="dxa"/>
            </w:tcMar>
            <w:shd w:fill="FFFFFF"/>
          </w:tcPr>
          <w:p>
            <w:pPr>
              <w:spacing w:after="40" w:before="40" w:line="245" w:lineRule="auto"/>
            </w:pPr>
            <w:r>
              <w:rPr>
                <w:sz w:val="20"/>
              </w:rPr>
              <w:t>Name the supporting evidence, applicable conditions, and known limitations.</w:t>
            </w:r>
          </w:p>
        </w:tc>
      </w:tr>
      <w:tr>
        <w:trPr>
          <w:cantSplit/>
        </w:trPr>
        <w:tc>
          <w:tcPr>
            <w:tcW w:type="dxa" w:w="2448"/>
            <w:vAlign w:val="center"/>
            <w:tcMar>
              <w:top w:w="80" w:type="dxa"/>
              <w:left w:w="80" w:type="dxa"/>
              <w:bottom w:w="80" w:type="dxa"/>
              <w:right w:w="80" w:type="dxa"/>
            </w:tcMar>
            <w:shd w:fill="F1F4F0"/>
          </w:tcPr>
          <w:p>
            <w:pPr>
              <w:spacing w:after="40" w:before="40" w:line="245" w:lineRule="auto"/>
            </w:pPr>
            <w:r>
              <w:rPr>
                <w:sz w:val="20"/>
              </w:rPr>
              <w:t>Assumption or simplification</w:t>
            </w:r>
          </w:p>
        </w:tc>
        <w:tc>
          <w:tcPr>
            <w:tcW w:type="dxa" w:w="7632"/>
            <w:vAlign w:val="center"/>
            <w:tcMar>
              <w:top w:w="80" w:type="dxa"/>
              <w:left w:w="80" w:type="dxa"/>
              <w:bottom w:w="80" w:type="dxa"/>
              <w:right w:w="80" w:type="dxa"/>
            </w:tcMar>
            <w:shd w:fill="F1F4F0"/>
          </w:tcPr>
          <w:p>
            <w:pPr>
              <w:spacing w:after="40" w:before="40" w:line="245" w:lineRule="auto"/>
            </w:pPr>
            <w:r>
              <w:rPr>
                <w:sz w:val="20"/>
              </w:rPr>
              <w:t>Label it as provisional; predict what observation would expose its failure.</w:t>
            </w:r>
          </w:p>
        </w:tc>
      </w:tr>
      <w:tr>
        <w:trPr>
          <w:cantSplit/>
        </w:trPr>
        <w:tc>
          <w:tcPr>
            <w:tcW w:type="dxa" w:w="2448"/>
            <w:vAlign w:val="center"/>
            <w:tcMar>
              <w:top w:w="80" w:type="dxa"/>
              <w:left w:w="80" w:type="dxa"/>
              <w:bottom w:w="80" w:type="dxa"/>
              <w:right w:w="80" w:type="dxa"/>
            </w:tcMar>
            <w:shd w:fill="FFFFFF"/>
          </w:tcPr>
          <w:p>
            <w:pPr>
              <w:spacing w:after="40" w:before="40" w:line="245" w:lineRule="auto"/>
            </w:pPr>
            <w:r>
              <w:rPr>
                <w:sz w:val="20"/>
              </w:rPr>
              <w:t>Goal, value, or policy</w:t>
            </w:r>
          </w:p>
        </w:tc>
        <w:tc>
          <w:tcPr>
            <w:tcW w:type="dxa" w:w="7632"/>
            <w:vAlign w:val="center"/>
            <w:tcMar>
              <w:top w:w="80" w:type="dxa"/>
              <w:left w:w="80" w:type="dxa"/>
              <w:bottom w:w="80" w:type="dxa"/>
              <w:right w:w="80" w:type="dxa"/>
            </w:tcMar>
            <w:shd w:fill="FFFFFF"/>
          </w:tcPr>
          <w:p>
            <w:pPr>
              <w:spacing w:after="40" w:before="40" w:line="245" w:lineRule="auto"/>
            </w:pPr>
            <w:r>
              <w:rPr>
                <w:sz w:val="20"/>
              </w:rPr>
              <w:t>Name who chose or authorized it; do not pretend it follows from physics.</w:t>
            </w:r>
          </w:p>
        </w:tc>
      </w:tr>
      <w:tr>
        <w:trPr>
          <w:cantSplit/>
        </w:trPr>
        <w:tc>
          <w:tcPr>
            <w:tcW w:type="dxa" w:w="2448"/>
            <w:vAlign w:val="center"/>
            <w:tcMar>
              <w:top w:w="80" w:type="dxa"/>
              <w:left w:w="80" w:type="dxa"/>
              <w:bottom w:w="80" w:type="dxa"/>
              <w:right w:w="80" w:type="dxa"/>
            </w:tcMar>
            <w:shd w:fill="F1F4F0"/>
          </w:tcPr>
          <w:p>
            <w:pPr>
              <w:spacing w:after="40" w:before="40" w:line="245" w:lineRule="auto"/>
            </w:pPr>
            <w:r>
              <w:rPr>
                <w:sz w:val="20"/>
              </w:rPr>
              <w:t>Observation</w:t>
            </w:r>
          </w:p>
        </w:tc>
        <w:tc>
          <w:tcPr>
            <w:tcW w:type="dxa" w:w="7632"/>
            <w:vAlign w:val="center"/>
            <w:tcMar>
              <w:top w:w="80" w:type="dxa"/>
              <w:left w:w="80" w:type="dxa"/>
              <w:bottom w:w="80" w:type="dxa"/>
              <w:right w:w="80" w:type="dxa"/>
            </w:tcMar>
            <w:shd w:fill="F1F4F0"/>
          </w:tcPr>
          <w:p>
            <w:pPr>
              <w:spacing w:after="40" w:before="40" w:line="245" w:lineRule="auto"/>
            </w:pPr>
            <w:r>
              <w:rPr>
                <w:sz w:val="20"/>
              </w:rPr>
              <w:t>Record method, time, units, uncertainty, and source; do not confuse a measurement with an explanation.</w:t>
            </w:r>
          </w:p>
        </w:tc>
      </w:tr>
    </w:tbl>
    <w:p>
      <w:pPr>
        <w:spacing w:after="0"/>
      </w:pPr>
    </w:p>
    <w:p>
      <w:pPr>
        <w:pStyle w:val="Heading2"/>
      </w:pPr>
      <w:r>
        <w:t>Course redesign pattern</w:t>
      </w:r>
    </w:p>
    <w:p>
      <w:r>
        <w:t>Choose one problem with a measurable outcome and more than one defensible approach. Map three to six supporting disciplines. Identify prerequisites before asking for independent derivation. Teach one worked example, then fade support through a near-transfer task and an unfamiliar task. Include a counterexample where the familiar method fails.</w:t>
      </w:r>
    </w:p>
    <w:p>
      <w:pPr>
        <w:pStyle w:val="Heading2"/>
      </w:pPr>
      <w:r>
        <w:t>Starter problem</w:t>
      </w:r>
    </w:p>
    <w:p>
      <w:r>
        <w:t>How can a campus communication station maintain a defined minimum service for six hours on a limited energy supply? Mathematics handles budgets and bounds; physics handles energy; computing handles telemetry; operations handles demand; ethics and governance handle service priorities. Use synthetic data first. No actual critical service is controlled.</w:t>
      </w:r>
    </w:p>
    <w:p>
      <w:pPr>
        <w:pStyle w:val="Heading2"/>
      </w:pPr>
      <w:r>
        <w:t>One weekly learning cycle</w:t>
      </w:r>
    </w:p>
    <w:p>
      <w:r>
        <w:t>Allocate six learner hours: one hour of foundations, two hours of guided problem work, one hour of critique and revision, and two hours of individual practice. This is a starting allocation to test. Both groups receive equal instructional time and equivalent learning resources.</w:t>
      </w:r>
    </w:p>
    <w:tbl>
      <w:tblPr>
        <w:tblW w:type="auto" w:w="0"/>
        <w:jc w:val="center"/>
        <w:tblLook w:firstColumn="1" w:firstRow="1" w:lastColumn="0" w:lastRow="0" w:noHBand="0" w:noVBand="1" w:val="04A0"/>
      </w:tblPr>
      <w:tblGrid>
        <w:gridCol w:w="10166"/>
      </w:tblGrid>
      <w:tr>
        <w:tc>
          <w:tcPr>
            <w:tcW w:type="dxa" w:w="10166"/>
            <w:shd w:fill="EDF2ED"/>
          </w:tcPr>
          <w:p>
            <w:r>
              <w:rPr>
                <w:sz w:val="22"/>
              </w:rPr>
            </w:r>
            <w:r>
              <w:rPr>
                <w:b/>
                <w:color w:val="243B2B"/>
                <w:sz w:val="22"/>
              </w:rPr>
              <w:t>Design rule</w:t>
              <w:br/>
            </w:r>
            <w:r>
              <w:rPr>
                <w:sz w:val="22"/>
              </w:rPr>
              <w:t>A discipline supplies tools; a problem supplies context; evidence supplies resistance. None of these replaces the others.</w:t>
            </w:r>
          </w:p>
        </w:tc>
      </w:tr>
    </w:tbl>
    <w:p>
      <w:pPr>
        <w:spacing w:after="0"/>
      </w:pPr>
    </w:p>
    <w:p>
      <w:r>
        <w:br w:type="page"/>
      </w:r>
    </w:p>
    <w:p>
      <w:pPr>
        <w:pStyle w:val="Caption"/>
      </w:pPr>
      <w:r>
        <w:t>04  /  IMPLEMENTATION PLAYBOOK</w:t>
      </w:r>
    </w:p>
    <w:p>
      <w:pPr>
        <w:pStyle w:val="Heading1"/>
      </w:pPr>
      <w:r>
        <w:t>Run a reasoning episode</w:t>
      </w:r>
    </w:p>
    <w:p>
      <w:r>
        <w:t>A bounded, replayable account of a learner’s work. Not a surveillance record of every thought or keystroke.</w:t>
      </w:r>
    </w:p>
    <w:tbl>
      <w:tblPr>
        <w:tblW w:type="auto" w:w="0"/>
        <w:jc w:val="center"/>
        <w:tblLayout w:type="fixed"/>
        <w:tblLook w:firstColumn="1" w:firstRow="1" w:lastColumn="0" w:lastRow="0" w:noHBand="0" w:noVBand="1" w:val="04A0"/>
      </w:tblPr>
      <w:tblGrid>
        <w:gridCol w:w="1368"/>
        <w:gridCol w:w="4608"/>
        <w:gridCol w:w="4104"/>
      </w:tblGrid>
      <w:tr>
        <w:trPr>
          <w:cantSplit/>
          <w:tblHeader/>
        </w:trPr>
        <w:tc>
          <w:tcPr>
            <w:tcW w:type="dxa" w:w="1368"/>
            <w:vAlign w:val="center"/>
            <w:tcMar>
              <w:top w:w="80" w:type="dxa"/>
              <w:left w:w="80" w:type="dxa"/>
              <w:bottom w:w="80" w:type="dxa"/>
              <w:right w:w="80" w:type="dxa"/>
            </w:tcMar>
            <w:shd w:fill="243B2B"/>
          </w:tcPr>
          <w:p>
            <w:pPr>
              <w:spacing w:after="40" w:before="40" w:line="245" w:lineRule="auto"/>
            </w:pPr>
            <w:r>
              <w:rPr>
                <w:b/>
                <w:color w:val="FFFFFF"/>
                <w:sz w:val="19"/>
              </w:rPr>
              <w:t>Step</w:t>
            </w:r>
          </w:p>
        </w:tc>
        <w:tc>
          <w:tcPr>
            <w:tcW w:type="dxa" w:w="4608"/>
            <w:vAlign w:val="center"/>
            <w:tcMar>
              <w:top w:w="80" w:type="dxa"/>
              <w:left w:w="80" w:type="dxa"/>
              <w:bottom w:w="80" w:type="dxa"/>
              <w:right w:w="80" w:type="dxa"/>
            </w:tcMar>
            <w:shd w:fill="243B2B"/>
          </w:tcPr>
          <w:p>
            <w:pPr>
              <w:spacing w:after="40" w:before="40" w:line="245" w:lineRule="auto"/>
            </w:pPr>
            <w:r>
              <w:rPr>
                <w:b/>
                <w:color w:val="FFFFFF"/>
                <w:sz w:val="19"/>
              </w:rPr>
              <w:t>Required artifact</w:t>
            </w:r>
          </w:p>
        </w:tc>
        <w:tc>
          <w:tcPr>
            <w:tcW w:type="dxa" w:w="4104"/>
            <w:vAlign w:val="center"/>
            <w:tcMar>
              <w:top w:w="80" w:type="dxa"/>
              <w:left w:w="80" w:type="dxa"/>
              <w:bottom w:w="80" w:type="dxa"/>
              <w:right w:w="80" w:type="dxa"/>
            </w:tcMar>
            <w:shd w:fill="243B2B"/>
          </w:tcPr>
          <w:p>
            <w:pPr>
              <w:spacing w:after="40" w:before="40" w:line="245" w:lineRule="auto"/>
            </w:pPr>
            <w:r>
              <w:rPr>
                <w:b/>
                <w:color w:val="FFFFFF"/>
                <w:sz w:val="19"/>
              </w:rPr>
              <w:t>Completion check</w:t>
            </w:r>
          </w:p>
        </w:tc>
      </w:tr>
      <w:tr>
        <w:trPr>
          <w:cantSplit/>
        </w:trPr>
        <w:tc>
          <w:tcPr>
            <w:tcW w:type="dxa" w:w="1368"/>
            <w:vAlign w:val="center"/>
            <w:tcMar>
              <w:top w:w="80" w:type="dxa"/>
              <w:left w:w="80" w:type="dxa"/>
              <w:bottom w:w="80" w:type="dxa"/>
              <w:right w:w="80" w:type="dxa"/>
            </w:tcMar>
            <w:shd w:fill="F1F4F0"/>
          </w:tcPr>
          <w:p>
            <w:pPr>
              <w:spacing w:after="40" w:before="40" w:line="245" w:lineRule="auto"/>
            </w:pPr>
            <w:r>
              <w:rPr>
                <w:sz w:val="19"/>
              </w:rPr>
              <w:t>1. Frame</w:t>
            </w:r>
          </w:p>
        </w:tc>
        <w:tc>
          <w:tcPr>
            <w:tcW w:type="dxa" w:w="4608"/>
            <w:vAlign w:val="center"/>
            <w:tcMar>
              <w:top w:w="80" w:type="dxa"/>
              <w:left w:w="80" w:type="dxa"/>
              <w:bottom w:w="80" w:type="dxa"/>
              <w:right w:w="80" w:type="dxa"/>
            </w:tcMar>
            <w:shd w:fill="F1F4F0"/>
          </w:tcPr>
          <w:p>
            <w:pPr>
              <w:spacing w:after="40" w:before="40" w:line="245" w:lineRule="auto"/>
            </w:pPr>
            <w:r>
              <w:rPr>
                <w:sz w:val="19"/>
              </w:rPr>
              <w:t>Objective, stakeholder, baseline, success criterion, scope.</w:t>
            </w:r>
          </w:p>
        </w:tc>
        <w:tc>
          <w:tcPr>
            <w:tcW w:type="dxa" w:w="4104"/>
            <w:vAlign w:val="center"/>
            <w:tcMar>
              <w:top w:w="80" w:type="dxa"/>
              <w:left w:w="80" w:type="dxa"/>
              <w:bottom w:w="80" w:type="dxa"/>
              <w:right w:w="80" w:type="dxa"/>
            </w:tcMar>
            <w:shd w:fill="F1F4F0"/>
          </w:tcPr>
          <w:p>
            <w:pPr>
              <w:spacing w:after="40" w:before="40" w:line="245" w:lineRule="auto"/>
            </w:pPr>
            <w:r>
              <w:rPr>
                <w:sz w:val="19"/>
              </w:rPr>
              <w:t>A reviewer can say what success would mean.</w:t>
            </w:r>
          </w:p>
        </w:tc>
      </w:tr>
      <w:tr>
        <w:trPr>
          <w:cantSplit/>
        </w:trPr>
        <w:tc>
          <w:tcPr>
            <w:tcW w:type="dxa" w:w="1368"/>
            <w:vAlign w:val="center"/>
            <w:tcMar>
              <w:top w:w="80" w:type="dxa"/>
              <w:left w:w="80" w:type="dxa"/>
              <w:bottom w:w="80" w:type="dxa"/>
              <w:right w:w="80" w:type="dxa"/>
            </w:tcMar>
            <w:shd w:fill="FFFFFF"/>
          </w:tcPr>
          <w:p>
            <w:pPr>
              <w:spacing w:after="40" w:before="40" w:line="245" w:lineRule="auto"/>
            </w:pPr>
            <w:r>
              <w:rPr>
                <w:sz w:val="19"/>
              </w:rPr>
              <w:t>2. Establish</w:t>
            </w:r>
          </w:p>
        </w:tc>
        <w:tc>
          <w:tcPr>
            <w:tcW w:type="dxa" w:w="4608"/>
            <w:vAlign w:val="center"/>
            <w:tcMar>
              <w:top w:w="80" w:type="dxa"/>
              <w:left w:w="80" w:type="dxa"/>
              <w:bottom w:w="80" w:type="dxa"/>
              <w:right w:w="80" w:type="dxa"/>
            </w:tcMar>
            <w:shd w:fill="FFFFFF"/>
          </w:tcPr>
          <w:p>
            <w:pPr>
              <w:spacing w:after="40" w:before="40" w:line="245" w:lineRule="auto"/>
            </w:pPr>
            <w:r>
              <w:rPr>
                <w:sz w:val="19"/>
              </w:rPr>
              <w:t>Definitions, principles, assumptions, authority, prerequisites.</w:t>
            </w:r>
          </w:p>
        </w:tc>
        <w:tc>
          <w:tcPr>
            <w:tcW w:type="dxa" w:w="4104"/>
            <w:vAlign w:val="center"/>
            <w:tcMar>
              <w:top w:w="80" w:type="dxa"/>
              <w:left w:w="80" w:type="dxa"/>
              <w:bottom w:w="80" w:type="dxa"/>
              <w:right w:w="80" w:type="dxa"/>
            </w:tcMar>
            <w:shd w:fill="FFFFFF"/>
          </w:tcPr>
          <w:p>
            <w:pPr>
              <w:spacing w:after="40" w:before="40" w:line="245" w:lineRule="auto"/>
            </w:pPr>
            <w:r>
              <w:rPr>
                <w:sz w:val="19"/>
              </w:rPr>
              <w:t>Facts, assumptions, and value choices are distinguishable.</w:t>
            </w:r>
          </w:p>
        </w:tc>
      </w:tr>
      <w:tr>
        <w:trPr>
          <w:cantSplit/>
        </w:trPr>
        <w:tc>
          <w:tcPr>
            <w:tcW w:type="dxa" w:w="1368"/>
            <w:vAlign w:val="center"/>
            <w:tcMar>
              <w:top w:w="80" w:type="dxa"/>
              <w:left w:w="80" w:type="dxa"/>
              <w:bottom w:w="80" w:type="dxa"/>
              <w:right w:w="80" w:type="dxa"/>
            </w:tcMar>
            <w:shd w:fill="F1F4F0"/>
          </w:tcPr>
          <w:p>
            <w:pPr>
              <w:spacing w:after="40" w:before="40" w:line="245" w:lineRule="auto"/>
            </w:pPr>
            <w:r>
              <w:rPr>
                <w:sz w:val="19"/>
              </w:rPr>
              <w:t>3. Derive</w:t>
            </w:r>
          </w:p>
        </w:tc>
        <w:tc>
          <w:tcPr>
            <w:tcW w:type="dxa" w:w="4608"/>
            <w:vAlign w:val="center"/>
            <w:tcMar>
              <w:top w:w="80" w:type="dxa"/>
              <w:left w:w="80" w:type="dxa"/>
              <w:bottom w:w="80" w:type="dxa"/>
              <w:right w:w="80" w:type="dxa"/>
            </w:tcMar>
            <w:shd w:fill="F1F4F0"/>
          </w:tcPr>
          <w:p>
            <w:pPr>
              <w:spacing w:after="40" w:before="40" w:line="245" w:lineRule="auto"/>
            </w:pPr>
            <w:r>
              <w:rPr>
                <w:sz w:val="19"/>
              </w:rPr>
              <w:t>Model version, equations or argument, units, alternatives.</w:t>
            </w:r>
          </w:p>
        </w:tc>
        <w:tc>
          <w:tcPr>
            <w:tcW w:type="dxa" w:w="4104"/>
            <w:vAlign w:val="center"/>
            <w:tcMar>
              <w:top w:w="80" w:type="dxa"/>
              <w:left w:w="80" w:type="dxa"/>
              <w:bottom w:w="80" w:type="dxa"/>
              <w:right w:w="80" w:type="dxa"/>
            </w:tcMar>
            <w:shd w:fill="F1F4F0"/>
          </w:tcPr>
          <w:p>
            <w:pPr>
              <w:spacing w:after="40" w:before="40" w:line="245" w:lineRule="auto"/>
            </w:pPr>
            <w:r>
              <w:rPr>
                <w:sz w:val="19"/>
              </w:rPr>
              <w:t>The conclusion follows from the stated premises.</w:t>
            </w:r>
          </w:p>
        </w:tc>
      </w:tr>
      <w:tr>
        <w:trPr>
          <w:cantSplit/>
        </w:trPr>
        <w:tc>
          <w:tcPr>
            <w:tcW w:type="dxa" w:w="1368"/>
            <w:vAlign w:val="center"/>
            <w:tcMar>
              <w:top w:w="80" w:type="dxa"/>
              <w:left w:w="80" w:type="dxa"/>
              <w:bottom w:w="80" w:type="dxa"/>
              <w:right w:w="80" w:type="dxa"/>
            </w:tcMar>
            <w:shd w:fill="FFFFFF"/>
          </w:tcPr>
          <w:p>
            <w:pPr>
              <w:spacing w:after="40" w:before="40" w:line="245" w:lineRule="auto"/>
            </w:pPr>
            <w:r>
              <w:rPr>
                <w:sz w:val="19"/>
              </w:rPr>
              <w:t>4. Predict</w:t>
            </w:r>
          </w:p>
        </w:tc>
        <w:tc>
          <w:tcPr>
            <w:tcW w:type="dxa" w:w="4608"/>
            <w:vAlign w:val="center"/>
            <w:tcMar>
              <w:top w:w="80" w:type="dxa"/>
              <w:left w:w="80" w:type="dxa"/>
              <w:bottom w:w="80" w:type="dxa"/>
              <w:right w:w="80" w:type="dxa"/>
            </w:tcMar>
            <w:shd w:fill="FFFFFF"/>
          </w:tcPr>
          <w:p>
            <w:pPr>
              <w:spacing w:after="40" w:before="40" w:line="245" w:lineRule="auto"/>
            </w:pPr>
            <w:r>
              <w:rPr>
                <w:sz w:val="19"/>
              </w:rPr>
              <w:t>Scope, resolution, time horizon, uncertainty and reliability evidence.</w:t>
            </w:r>
          </w:p>
        </w:tc>
        <w:tc>
          <w:tcPr>
            <w:tcW w:type="dxa" w:w="4104"/>
            <w:vAlign w:val="center"/>
            <w:tcMar>
              <w:top w:w="80" w:type="dxa"/>
              <w:left w:w="80" w:type="dxa"/>
              <w:bottom w:w="80" w:type="dxa"/>
              <w:right w:w="80" w:type="dxa"/>
            </w:tcMar>
            <w:shd w:fill="FFFFFF"/>
          </w:tcPr>
          <w:p>
            <w:pPr>
              <w:spacing w:after="40" w:before="40" w:line="245" w:lineRule="auto"/>
            </w:pPr>
            <w:r>
              <w:rPr>
                <w:sz w:val="19"/>
              </w:rPr>
              <w:t>A checkable prediction exists before the result is seen.</w:t>
            </w:r>
          </w:p>
        </w:tc>
      </w:tr>
      <w:tr>
        <w:trPr>
          <w:cantSplit/>
        </w:trPr>
        <w:tc>
          <w:tcPr>
            <w:tcW w:type="dxa" w:w="1368"/>
            <w:vAlign w:val="center"/>
            <w:tcMar>
              <w:top w:w="80" w:type="dxa"/>
              <w:left w:w="80" w:type="dxa"/>
              <w:bottom w:w="80" w:type="dxa"/>
              <w:right w:w="80" w:type="dxa"/>
            </w:tcMar>
            <w:shd w:fill="F1F4F0"/>
          </w:tcPr>
          <w:p>
            <w:pPr>
              <w:spacing w:after="40" w:before="40" w:line="245" w:lineRule="auto"/>
            </w:pPr>
            <w:r>
              <w:rPr>
                <w:sz w:val="19"/>
              </w:rPr>
              <w:t>5. Observe</w:t>
            </w:r>
          </w:p>
        </w:tc>
        <w:tc>
          <w:tcPr>
            <w:tcW w:type="dxa" w:w="4608"/>
            <w:vAlign w:val="center"/>
            <w:tcMar>
              <w:top w:w="80" w:type="dxa"/>
              <w:left w:w="80" w:type="dxa"/>
              <w:bottom w:w="80" w:type="dxa"/>
              <w:right w:w="80" w:type="dxa"/>
            </w:tcMar>
            <w:shd w:fill="F1F4F0"/>
          </w:tcPr>
          <w:p>
            <w:pPr>
              <w:spacing w:after="40" w:before="40" w:line="245" w:lineRule="auto"/>
            </w:pPr>
            <w:r>
              <w:rPr>
                <w:sz w:val="19"/>
              </w:rPr>
              <w:t>Timestamped event and measurement method with evidence pointer.</w:t>
            </w:r>
          </w:p>
        </w:tc>
        <w:tc>
          <w:tcPr>
            <w:tcW w:type="dxa" w:w="4104"/>
            <w:vAlign w:val="center"/>
            <w:tcMar>
              <w:top w:w="80" w:type="dxa"/>
              <w:left w:w="80" w:type="dxa"/>
              <w:bottom w:w="80" w:type="dxa"/>
              <w:right w:w="80" w:type="dxa"/>
            </w:tcMar>
            <w:shd w:fill="F1F4F0"/>
          </w:tcPr>
          <w:p>
            <w:pPr>
              <w:spacing w:after="40" w:before="40" w:line="245" w:lineRule="auto"/>
            </w:pPr>
            <w:r>
              <w:rPr>
                <w:sz w:val="19"/>
              </w:rPr>
              <w:t>Observed state is separated from intended state.</w:t>
            </w:r>
          </w:p>
        </w:tc>
      </w:tr>
      <w:tr>
        <w:trPr>
          <w:cantSplit/>
        </w:trPr>
        <w:tc>
          <w:tcPr>
            <w:tcW w:type="dxa" w:w="1368"/>
            <w:vAlign w:val="center"/>
            <w:tcMar>
              <w:top w:w="80" w:type="dxa"/>
              <w:left w:w="80" w:type="dxa"/>
              <w:bottom w:w="80" w:type="dxa"/>
              <w:right w:w="80" w:type="dxa"/>
            </w:tcMar>
            <w:shd w:fill="FFFFFF"/>
          </w:tcPr>
          <w:p>
            <w:pPr>
              <w:spacing w:after="40" w:before="40" w:line="245" w:lineRule="auto"/>
            </w:pPr>
            <w:r>
              <w:rPr>
                <w:sz w:val="19"/>
              </w:rPr>
              <w:t>6. Review</w:t>
            </w:r>
          </w:p>
        </w:tc>
        <w:tc>
          <w:tcPr>
            <w:tcW w:type="dxa" w:w="4608"/>
            <w:vAlign w:val="center"/>
            <w:tcMar>
              <w:top w:w="80" w:type="dxa"/>
              <w:left w:w="80" w:type="dxa"/>
              <w:bottom w:w="80" w:type="dxa"/>
              <w:right w:w="80" w:type="dxa"/>
            </w:tcMar>
            <w:shd w:fill="FFFFFF"/>
          </w:tcPr>
          <w:p>
            <w:pPr>
              <w:spacing w:after="40" w:before="40" w:line="245" w:lineRule="auto"/>
            </w:pPr>
            <w:r>
              <w:rPr>
                <w:sz w:val="19"/>
              </w:rPr>
              <w:t>Expected-versus-observed discrepancy and competing explanations.</w:t>
            </w:r>
          </w:p>
        </w:tc>
        <w:tc>
          <w:tcPr>
            <w:tcW w:type="dxa" w:w="4104"/>
            <w:vAlign w:val="center"/>
            <w:tcMar>
              <w:top w:w="80" w:type="dxa"/>
              <w:left w:w="80" w:type="dxa"/>
              <w:bottom w:w="80" w:type="dxa"/>
              <w:right w:w="80" w:type="dxa"/>
            </w:tcMar>
            <w:shd w:fill="FFFFFF"/>
          </w:tcPr>
          <w:p>
            <w:pPr>
              <w:spacing w:after="40" w:before="40" w:line="245" w:lineRule="auto"/>
            </w:pPr>
            <w:r>
              <w:rPr>
                <w:sz w:val="19"/>
              </w:rPr>
              <w:t>A mismatch is investigated, not automatically called chaos or failure.</w:t>
            </w:r>
          </w:p>
        </w:tc>
      </w:tr>
      <w:tr>
        <w:trPr>
          <w:cantSplit/>
        </w:trPr>
        <w:tc>
          <w:tcPr>
            <w:tcW w:type="dxa" w:w="1368"/>
            <w:vAlign w:val="center"/>
            <w:tcMar>
              <w:top w:w="80" w:type="dxa"/>
              <w:left w:w="80" w:type="dxa"/>
              <w:bottom w:w="80" w:type="dxa"/>
              <w:right w:w="80" w:type="dxa"/>
            </w:tcMar>
            <w:shd w:fill="F1F4F0"/>
          </w:tcPr>
          <w:p>
            <w:pPr>
              <w:spacing w:after="40" w:before="40" w:line="245" w:lineRule="auto"/>
            </w:pPr>
            <w:r>
              <w:rPr>
                <w:sz w:val="19"/>
              </w:rPr>
              <w:t>7. Patch and apply</w:t>
            </w:r>
          </w:p>
        </w:tc>
        <w:tc>
          <w:tcPr>
            <w:tcW w:type="dxa" w:w="4608"/>
            <w:vAlign w:val="center"/>
            <w:tcMar>
              <w:top w:w="80" w:type="dxa"/>
              <w:left w:w="80" w:type="dxa"/>
              <w:bottom w:w="80" w:type="dxa"/>
              <w:right w:w="80" w:type="dxa"/>
            </w:tcMar>
            <w:shd w:fill="F1F4F0"/>
          </w:tcPr>
          <w:p>
            <w:pPr>
              <w:spacing w:after="40" w:before="40" w:line="245" w:lineRule="auto"/>
            </w:pPr>
            <w:r>
              <w:rPr>
                <w:sz w:val="19"/>
              </w:rPr>
              <w:t>Proposed change, reviewer, approval, applied version, rollback.</w:t>
            </w:r>
          </w:p>
        </w:tc>
        <w:tc>
          <w:tcPr>
            <w:tcW w:type="dxa" w:w="4104"/>
            <w:vAlign w:val="center"/>
            <w:tcMar>
              <w:top w:w="80" w:type="dxa"/>
              <w:left w:w="80" w:type="dxa"/>
              <w:bottom w:w="80" w:type="dxa"/>
              <w:right w:w="80" w:type="dxa"/>
            </w:tcMar>
            <w:shd w:fill="F1F4F0"/>
          </w:tcPr>
          <w:p>
            <w:pPr>
              <w:spacing w:after="40" w:before="40" w:line="245" w:lineRule="auto"/>
            </w:pPr>
            <w:r>
              <w:rPr>
                <w:sz w:val="19"/>
              </w:rPr>
              <w:t>No change is represented as applied merely because it was proposed.</w:t>
            </w:r>
          </w:p>
        </w:tc>
      </w:tr>
      <w:tr>
        <w:trPr>
          <w:cantSplit/>
        </w:trPr>
        <w:tc>
          <w:tcPr>
            <w:tcW w:type="dxa" w:w="1368"/>
            <w:vAlign w:val="center"/>
            <w:tcMar>
              <w:top w:w="80" w:type="dxa"/>
              <w:left w:w="80" w:type="dxa"/>
              <w:bottom w:w="80" w:type="dxa"/>
              <w:right w:w="80" w:type="dxa"/>
            </w:tcMar>
            <w:shd w:fill="FFFFFF"/>
          </w:tcPr>
          <w:p>
            <w:pPr>
              <w:spacing w:after="40" w:before="40" w:line="245" w:lineRule="auto"/>
            </w:pPr>
            <w:r>
              <w:rPr>
                <w:sz w:val="19"/>
              </w:rPr>
              <w:t>8. Defend and transfer</w:t>
            </w:r>
          </w:p>
        </w:tc>
        <w:tc>
          <w:tcPr>
            <w:tcW w:type="dxa" w:w="4608"/>
            <w:vAlign w:val="center"/>
            <w:tcMar>
              <w:top w:w="80" w:type="dxa"/>
              <w:left w:w="80" w:type="dxa"/>
              <w:bottom w:w="80" w:type="dxa"/>
              <w:right w:w="80" w:type="dxa"/>
            </w:tcMar>
            <w:shd w:fill="FFFFFF"/>
          </w:tcPr>
          <w:p>
            <w:pPr>
              <w:spacing w:after="40" w:before="40" w:line="245" w:lineRule="auto"/>
            </w:pPr>
            <w:r>
              <w:rPr>
                <w:sz w:val="19"/>
              </w:rPr>
              <w:t>Independent explanation, new task, residual limits, next observation.</w:t>
            </w:r>
          </w:p>
        </w:tc>
        <w:tc>
          <w:tcPr>
            <w:tcW w:type="dxa" w:w="4104"/>
            <w:vAlign w:val="center"/>
            <w:tcMar>
              <w:top w:w="80" w:type="dxa"/>
              <w:left w:w="80" w:type="dxa"/>
              <w:bottom w:w="80" w:type="dxa"/>
              <w:right w:w="80" w:type="dxa"/>
            </w:tcMar>
            <w:shd w:fill="FFFFFF"/>
          </w:tcPr>
          <w:p>
            <w:pPr>
              <w:spacing w:after="40" w:before="40" w:line="245" w:lineRule="auto"/>
            </w:pPr>
            <w:r>
              <w:rPr>
                <w:sz w:val="19"/>
              </w:rPr>
              <w:t>The learner can justify the model and identify where reuse would fail.</w:t>
            </w:r>
          </w:p>
        </w:tc>
      </w:tr>
    </w:tbl>
    <w:p>
      <w:pPr>
        <w:spacing w:after="0"/>
      </w:pPr>
    </w:p>
    <w:p>
      <w:pPr>
        <w:pStyle w:val="Heading2"/>
      </w:pPr>
      <w:r>
        <w:t>The six-state record</w:t>
      </w:r>
    </w:p>
    <w:p>
      <w:r>
        <w:t>Every episode names intended state, observed state, model, intervention, outcome, and prediction boundary. “Not yet observed” is a valid state. Missing evidence is not evidence of success or failure.</w:t>
      </w:r>
    </w:p>
    <w:p>
      <w:pPr>
        <w:pStyle w:val="Heading2"/>
      </w:pPr>
      <w:r>
        <w:t>Prediction contract</w:t>
      </w:r>
    </w:p>
    <w:p>
      <w:r>
        <w:t>Write: “Under [conditions], model [ID/version] predicts [quantity or outcome] at [resolution] over [horizon], with [uncertainty basis], supported by [evidence]. Re-observe when [time or trigger].” Do not turn an assumed engineering bound into a statistical confidence interval.</w:t>
      </w:r>
    </w:p>
    <w:p>
      <w:pPr>
        <w:pStyle w:val="Heading2"/>
      </w:pPr>
      <w:r>
        <w:t>CERPA crosswalk</w:t>
      </w:r>
    </w:p>
    <w:p>
      <w:r>
        <w:t>Claim holds the proposition. Event holds what was measured or encountered. Review evaluates the relation. Patch proposes the change. Apply records authorization, execution, and verification. Keep the original claim and append the revision; do not overwrite the history to make the episode look cleaner.</w:t>
      </w:r>
    </w:p>
    <w:p>
      <w:r>
        <w:br w:type="page"/>
      </w:r>
    </w:p>
    <w:p>
      <w:pPr>
        <w:pStyle w:val="Caption"/>
      </w:pPr>
      <w:r>
        <w:t>05  /  IMPLEMENTATION PLAYBOOK</w:t>
      </w:r>
    </w:p>
    <w:p>
      <w:pPr>
        <w:pStyle w:val="Heading1"/>
      </w:pPr>
      <w:r>
        <w:t>Authority and AI rules</w:t>
      </w:r>
    </w:p>
    <w:p>
      <w:r>
        <w:t>Humans retain responsibility for approval, interpretation, and assessment.</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Mar>
              <w:top w:w="80" w:type="dxa"/>
              <w:left w:w="80" w:type="dxa"/>
              <w:bottom w:w="80" w:type="dxa"/>
              <w:right w:w="80" w:type="dxa"/>
            </w:tcMar>
            <w:shd w:fill="243B2B"/>
          </w:tcPr>
          <w:p>
            <w:pPr>
              <w:spacing w:after="40" w:before="40" w:line="245" w:lineRule="auto"/>
            </w:pPr>
            <w:r>
              <w:rPr>
                <w:b/>
                <w:color w:val="FFFFFF"/>
                <w:sz w:val="20"/>
              </w:rPr>
              <w:t>Role</w:t>
            </w:r>
          </w:p>
        </w:tc>
        <w:tc>
          <w:tcPr>
            <w:tcW w:type="dxa" w:w="7992"/>
            <w:vAlign w:val="center"/>
            <w:tcMar>
              <w:top w:w="80" w:type="dxa"/>
              <w:left w:w="80" w:type="dxa"/>
              <w:bottom w:w="80" w:type="dxa"/>
              <w:right w:w="80" w:type="dxa"/>
            </w:tcMar>
            <w:shd w:fill="243B2B"/>
          </w:tcPr>
          <w:p>
            <w:pPr>
              <w:spacing w:after="40" w:before="40" w:line="245" w:lineRule="auto"/>
            </w:pPr>
            <w:r>
              <w:rPr>
                <w:b/>
                <w:color w:val="FFFFFF"/>
                <w:sz w:val="20"/>
              </w:rPr>
              <w:t>Accountability</w:t>
            </w:r>
          </w:p>
        </w:tc>
      </w:tr>
      <w:tr>
        <w:trPr>
          <w:cantSplit/>
        </w:trPr>
        <w:tc>
          <w:tcPr>
            <w:tcW w:type="dxa" w:w="2088"/>
            <w:vAlign w:val="center"/>
            <w:tcMar>
              <w:top w:w="80" w:type="dxa"/>
              <w:left w:w="80" w:type="dxa"/>
              <w:bottom w:w="80" w:type="dxa"/>
              <w:right w:w="80" w:type="dxa"/>
            </w:tcMar>
            <w:shd w:fill="F1F4F0"/>
          </w:tcPr>
          <w:p>
            <w:pPr>
              <w:spacing w:after="40" w:before="40" w:line="245" w:lineRule="auto"/>
            </w:pPr>
            <w:r>
              <w:rPr>
                <w:sz w:val="20"/>
              </w:rPr>
              <w:t>Sponsor</w:t>
            </w:r>
          </w:p>
        </w:tc>
        <w:tc>
          <w:tcPr>
            <w:tcW w:type="dxa" w:w="7992"/>
            <w:vAlign w:val="center"/>
            <w:tcMar>
              <w:top w:w="80" w:type="dxa"/>
              <w:left w:w="80" w:type="dxa"/>
              <w:bottom w:w="80" w:type="dxa"/>
              <w:right w:w="80" w:type="dxa"/>
            </w:tcMar>
            <w:shd w:fill="F1F4F0"/>
          </w:tcPr>
          <w:p>
            <w:pPr>
              <w:spacing w:after="40" w:before="40" w:line="245" w:lineRule="auto"/>
            </w:pPr>
            <w:r>
              <w:rPr>
                <w:sz w:val="20"/>
              </w:rPr>
              <w:t>Approves scope, staffing, protections, and the stop/repair/expand decision.</w:t>
            </w:r>
          </w:p>
        </w:tc>
      </w:tr>
      <w:tr>
        <w:trPr>
          <w:cantSplit/>
        </w:trPr>
        <w:tc>
          <w:tcPr>
            <w:tcW w:type="dxa" w:w="2088"/>
            <w:vAlign w:val="center"/>
            <w:tcMar>
              <w:top w:w="80" w:type="dxa"/>
              <w:left w:w="80" w:type="dxa"/>
              <w:bottom w:w="80" w:type="dxa"/>
              <w:right w:w="80" w:type="dxa"/>
            </w:tcMar>
            <w:shd w:fill="FFFFFF"/>
          </w:tcPr>
          <w:p>
            <w:pPr>
              <w:spacing w:after="40" w:before="40" w:line="245" w:lineRule="auto"/>
            </w:pPr>
            <w:r>
              <w:rPr>
                <w:sz w:val="20"/>
              </w:rPr>
              <w:t>Faculty lead</w:t>
            </w:r>
          </w:p>
        </w:tc>
        <w:tc>
          <w:tcPr>
            <w:tcW w:type="dxa" w:w="7992"/>
            <w:vAlign w:val="center"/>
            <w:tcMar>
              <w:top w:w="80" w:type="dxa"/>
              <w:left w:w="80" w:type="dxa"/>
              <w:bottom w:w="80" w:type="dxa"/>
              <w:right w:w="80" w:type="dxa"/>
            </w:tcMar>
            <w:shd w:fill="FFFFFF"/>
          </w:tcPr>
          <w:p>
            <w:pPr>
              <w:spacing w:after="40" w:before="40" w:line="245" w:lineRule="auto"/>
            </w:pPr>
            <w:r>
              <w:rPr>
                <w:sz w:val="20"/>
              </w:rPr>
              <w:t>Owns content accuracy, prerequisites, teaching, and learner support.</w:t>
            </w:r>
          </w:p>
        </w:tc>
      </w:tr>
      <w:tr>
        <w:trPr>
          <w:cantSplit/>
        </w:trPr>
        <w:tc>
          <w:tcPr>
            <w:tcW w:type="dxa" w:w="2088"/>
            <w:vAlign w:val="center"/>
            <w:tcMar>
              <w:top w:w="80" w:type="dxa"/>
              <w:left w:w="80" w:type="dxa"/>
              <w:bottom w:w="80" w:type="dxa"/>
              <w:right w:w="80" w:type="dxa"/>
            </w:tcMar>
            <w:shd w:fill="F1F4F0"/>
          </w:tcPr>
          <w:p>
            <w:pPr>
              <w:spacing w:after="40" w:before="40" w:line="245" w:lineRule="auto"/>
            </w:pPr>
            <w:r>
              <w:rPr>
                <w:sz w:val="20"/>
              </w:rPr>
              <w:t>Assessment lead</w:t>
            </w:r>
          </w:p>
        </w:tc>
        <w:tc>
          <w:tcPr>
            <w:tcW w:type="dxa" w:w="7992"/>
            <w:vAlign w:val="center"/>
            <w:tcMar>
              <w:top w:w="80" w:type="dxa"/>
              <w:left w:w="80" w:type="dxa"/>
              <w:bottom w:w="80" w:type="dxa"/>
              <w:right w:w="80" w:type="dxa"/>
            </w:tcMar>
            <w:shd w:fill="F1F4F0"/>
          </w:tcPr>
          <w:p>
            <w:pPr>
              <w:spacing w:after="40" w:before="40" w:line="245" w:lineRule="auto"/>
            </w:pPr>
            <w:r>
              <w:rPr>
                <w:sz w:val="20"/>
              </w:rPr>
              <w:t>Locks tasks and rubric, trains raters, preserves original scores, adjudicates disputes.</w:t>
            </w:r>
          </w:p>
        </w:tc>
      </w:tr>
      <w:tr>
        <w:trPr>
          <w:cantSplit/>
        </w:trPr>
        <w:tc>
          <w:tcPr>
            <w:tcW w:type="dxa" w:w="2088"/>
            <w:vAlign w:val="center"/>
            <w:tcMar>
              <w:top w:w="80" w:type="dxa"/>
              <w:left w:w="80" w:type="dxa"/>
              <w:bottom w:w="80" w:type="dxa"/>
              <w:right w:w="80" w:type="dxa"/>
            </w:tcMar>
            <w:shd w:fill="FFFFFF"/>
          </w:tcPr>
          <w:p>
            <w:pPr>
              <w:spacing w:after="40" w:before="40" w:line="245" w:lineRule="auto"/>
            </w:pPr>
            <w:r>
              <w:rPr>
                <w:sz w:val="20"/>
              </w:rPr>
              <w:t>Data steward</w:t>
            </w:r>
          </w:p>
        </w:tc>
        <w:tc>
          <w:tcPr>
            <w:tcW w:type="dxa" w:w="7992"/>
            <w:vAlign w:val="center"/>
            <w:tcMar>
              <w:top w:w="80" w:type="dxa"/>
              <w:left w:w="80" w:type="dxa"/>
              <w:bottom w:w="80" w:type="dxa"/>
              <w:right w:w="80" w:type="dxa"/>
            </w:tcMar>
            <w:shd w:fill="FFFFFF"/>
          </w:tcPr>
          <w:p>
            <w:pPr>
              <w:spacing w:after="40" w:before="40" w:line="245" w:lineRule="auto"/>
            </w:pPr>
            <w:r>
              <w:rPr>
                <w:sz w:val="20"/>
              </w:rPr>
              <w:t>Controls IDs, permissions, evidence references, backups, retention, and deletion.</w:t>
            </w:r>
          </w:p>
        </w:tc>
      </w:tr>
      <w:tr>
        <w:trPr>
          <w:cantSplit/>
        </w:trPr>
        <w:tc>
          <w:tcPr>
            <w:tcW w:type="dxa" w:w="2088"/>
            <w:vAlign w:val="center"/>
            <w:tcMar>
              <w:top w:w="80" w:type="dxa"/>
              <w:left w:w="80" w:type="dxa"/>
              <w:bottom w:w="80" w:type="dxa"/>
              <w:right w:w="80" w:type="dxa"/>
            </w:tcMar>
            <w:shd w:fill="F1F4F0"/>
          </w:tcPr>
          <w:p>
            <w:pPr>
              <w:spacing w:after="40" w:before="40" w:line="245" w:lineRule="auto"/>
            </w:pPr>
            <w:r>
              <w:rPr>
                <w:sz w:val="20"/>
              </w:rPr>
              <w:t>Learner</w:t>
            </w:r>
          </w:p>
        </w:tc>
        <w:tc>
          <w:tcPr>
            <w:tcW w:type="dxa" w:w="7992"/>
            <w:vAlign w:val="center"/>
            <w:tcMar>
              <w:top w:w="80" w:type="dxa"/>
              <w:left w:w="80" w:type="dxa"/>
              <w:bottom w:w="80" w:type="dxa"/>
              <w:right w:w="80" w:type="dxa"/>
            </w:tcMar>
            <w:shd w:fill="F1F4F0"/>
          </w:tcPr>
          <w:p>
            <w:pPr>
              <w:spacing w:after="40" w:before="40" w:line="245" w:lineRule="auto"/>
            </w:pPr>
            <w:r>
              <w:rPr>
                <w:sz w:val="20"/>
              </w:rPr>
              <w:t>Produces an initial attempt, discloses assistance, checks claims, and defends revisions.</w:t>
            </w:r>
          </w:p>
        </w:tc>
      </w:tr>
      <w:tr>
        <w:trPr>
          <w:cantSplit/>
        </w:trPr>
        <w:tc>
          <w:tcPr>
            <w:tcW w:type="dxa" w:w="2088"/>
            <w:vAlign w:val="center"/>
            <w:tcMar>
              <w:top w:w="80" w:type="dxa"/>
              <w:left w:w="80" w:type="dxa"/>
              <w:bottom w:w="80" w:type="dxa"/>
              <w:right w:w="80" w:type="dxa"/>
            </w:tcMar>
            <w:shd w:fill="FFFFFF"/>
          </w:tcPr>
          <w:p>
            <w:pPr>
              <w:spacing w:after="40" w:before="40" w:line="245" w:lineRule="auto"/>
            </w:pPr>
            <w:r>
              <w:rPr>
                <w:sz w:val="20"/>
              </w:rPr>
              <w:t>Independent reviewer</w:t>
            </w:r>
          </w:p>
        </w:tc>
        <w:tc>
          <w:tcPr>
            <w:tcW w:type="dxa" w:w="7992"/>
            <w:vAlign w:val="center"/>
            <w:tcMar>
              <w:top w:w="80" w:type="dxa"/>
              <w:left w:w="80" w:type="dxa"/>
              <w:bottom w:w="80" w:type="dxa"/>
              <w:right w:w="80" w:type="dxa"/>
            </w:tcMar>
            <w:shd w:fill="FFFFFF"/>
          </w:tcPr>
          <w:p>
            <w:pPr>
              <w:spacing w:after="40" w:before="40" w:line="245" w:lineRule="auto"/>
            </w:pPr>
            <w:r>
              <w:rPr>
                <w:sz w:val="20"/>
              </w:rPr>
              <w:t>Challenges the reasoning without knowing the study group where feasible. AI may assist, but cannot be the sole reviewer.</w:t>
            </w:r>
          </w:p>
        </w:tc>
      </w:tr>
    </w:tbl>
    <w:p>
      <w:pPr>
        <w:spacing w:after="0"/>
      </w:pPr>
    </w:p>
    <w:p>
      <w:pPr>
        <w:pStyle w:val="Heading2"/>
      </w:pPr>
      <w:r>
        <w:t>Three working modes</w:t>
      </w:r>
    </w:p>
    <w:p>
      <w:r>
        <w:t>INDEPENDENT: complete the designated task without generative AI. Supply the same approved references, calculator rules, and accommodations to both groups. Document permitted assistive tools without disclosing sensitive diagnoses.</w:t>
      </w:r>
    </w:p>
    <w:p>
      <w:r>
        <w:t>COACHED: after an initial attempt, use an approved AI tool for hints, counterexamples, explanation requests, or checks. Keep a minimal assistance log: tool/model/version when available, date, relevant prompt/output, and what the learner accepted or rejected.</w:t>
      </w:r>
    </w:p>
    <w:p>
      <w:r>
        <w:t>AMPLIFIED: use AI to extend the work, then independently explain its assumptions and verify its consequential outputs. Score this artifact separately from independent performance.</w:t>
      </w:r>
    </w:p>
    <w:p>
      <w:pPr>
        <w:pStyle w:val="Heading2"/>
      </w:pPr>
      <w:r>
        <w:t>Prompt contract for an AI coach</w:t>
      </w:r>
    </w:p>
    <w:tbl>
      <w:tblPr>
        <w:tblW w:type="auto" w:w="0"/>
        <w:jc w:val="center"/>
        <w:tblLook w:firstColumn="1" w:firstRow="1" w:lastColumn="0" w:lastRow="0" w:noHBand="0" w:noVBand="1" w:val="04A0"/>
      </w:tblPr>
      <w:tblGrid>
        <w:gridCol w:w="10166"/>
      </w:tblGrid>
      <w:tr>
        <w:tc>
          <w:tcPr>
            <w:tcW w:type="dxa" w:w="10166"/>
            <w:shd w:fill="EDF2ED"/>
          </w:tcPr>
          <w:p>
            <w:r>
              <w:rPr>
                <w:sz w:val="22"/>
              </w:rPr>
            </w:r>
            <w:r>
              <w:rPr>
                <w:b/>
                <w:color w:val="243B2B"/>
                <w:sz w:val="22"/>
              </w:rPr>
              <w:t>Reusable instruction</w:t>
              <w:br/>
            </w:r>
            <w:r>
              <w:rPr>
                <w:sz w:val="22"/>
              </w:rPr>
              <w:t>Ask for my current attempt before proposing a solution. Separate definitions, evidence, assumptions, and choices. Prefer a hint or counterexample. Identify what would falsify the claim. Do not invent sources, observations, approvals, or test results. Mark any full solution as assistance, not evidence of my mastery.</w:t>
            </w:r>
          </w:p>
        </w:tc>
      </w:tr>
    </w:tbl>
    <w:p>
      <w:pPr>
        <w:spacing w:after="0"/>
      </w:pPr>
    </w:p>
    <w:p>
      <w:r>
        <w:t>A prompt is guidance, not an enforced security boundary. Verify actual tool behavior and institutional approval. Store no protected student or operational data in an unapproved tool. Neither AI confidence nor a detector score proves authorship or understanding.</w:t>
      </w:r>
    </w:p>
    <w:p>
      <w:pPr>
        <w:pStyle w:val="Heading2"/>
      </w:pPr>
      <w:r>
        <w:t>Change approval</w:t>
      </w:r>
    </w:p>
    <w:p>
      <w:r>
        <w:t>The learner proposes; the designated reviewer evaluates; the authorized human approves; the actor applies; a verification record closes the loop. In a classroom simulation these roles may be combined, but record the combination. In software or real-world interventions, keep appropriate separation and rollback.</w:t>
      </w:r>
    </w:p>
    <w:p>
      <w:r>
        <w:br w:type="page"/>
      </w:r>
    </w:p>
    <w:p>
      <w:pPr>
        <w:pStyle w:val="Caption"/>
      </w:pPr>
      <w:r>
        <w:t>06  /  IMPLEMENTATION PLAYBOOK</w:t>
      </w:r>
    </w:p>
    <w:p>
      <w:pPr>
        <w:pStyle w:val="Heading1"/>
      </w:pPr>
      <w:r>
        <w:t>Six-week pilot runbook</w:t>
      </w:r>
    </w:p>
    <w:p>
      <w:r>
        <w:t>Preparation precedes week 1. A delayed check follows week 6; the full evaluation therefore extends beyond six weeks.</w:t>
      </w:r>
    </w:p>
    <w:tbl>
      <w:tblPr>
        <w:tblW w:type="auto" w:w="0"/>
        <w:jc w:val="center"/>
        <w:tblLayout w:type="fixed"/>
        <w:tblLook w:firstColumn="1" w:firstRow="1" w:lastColumn="0" w:lastRow="0" w:noHBand="0" w:noVBand="1" w:val="04A0"/>
      </w:tblPr>
      <w:tblGrid>
        <w:gridCol w:w="1296"/>
        <w:gridCol w:w="5256"/>
        <w:gridCol w:w="3528"/>
      </w:tblGrid>
      <w:tr>
        <w:trPr>
          <w:cantSplit/>
          <w:tblHeader/>
        </w:trPr>
        <w:tc>
          <w:tcPr>
            <w:tcW w:type="dxa" w:w="1296"/>
            <w:vAlign w:val="center"/>
            <w:tcMar>
              <w:top w:w="80" w:type="dxa"/>
              <w:left w:w="80" w:type="dxa"/>
              <w:bottom w:w="80" w:type="dxa"/>
              <w:right w:w="80" w:type="dxa"/>
            </w:tcMar>
            <w:shd w:fill="243B2B"/>
          </w:tcPr>
          <w:p>
            <w:pPr>
              <w:spacing w:after="40" w:before="40" w:line="245" w:lineRule="auto"/>
            </w:pPr>
            <w:r>
              <w:rPr>
                <w:b/>
                <w:color w:val="FFFFFF"/>
                <w:sz w:val="19"/>
              </w:rPr>
              <w:t>When</w:t>
            </w:r>
          </w:p>
        </w:tc>
        <w:tc>
          <w:tcPr>
            <w:tcW w:type="dxa" w:w="5256"/>
            <w:vAlign w:val="center"/>
            <w:tcMar>
              <w:top w:w="80" w:type="dxa"/>
              <w:left w:w="80" w:type="dxa"/>
              <w:bottom w:w="80" w:type="dxa"/>
              <w:right w:w="80" w:type="dxa"/>
            </w:tcMar>
            <w:shd w:fill="243B2B"/>
          </w:tcPr>
          <w:p>
            <w:pPr>
              <w:spacing w:after="40" w:before="40" w:line="245" w:lineRule="auto"/>
            </w:pPr>
            <w:r>
              <w:rPr>
                <w:b/>
                <w:color w:val="FFFFFF"/>
                <w:sz w:val="19"/>
              </w:rPr>
              <w:t>Teaching and activity</w:t>
            </w:r>
          </w:p>
        </w:tc>
        <w:tc>
          <w:tcPr>
            <w:tcW w:type="dxa" w:w="3528"/>
            <w:vAlign w:val="center"/>
            <w:tcMar>
              <w:top w:w="80" w:type="dxa"/>
              <w:left w:w="80" w:type="dxa"/>
              <w:bottom w:w="80" w:type="dxa"/>
              <w:right w:w="80" w:type="dxa"/>
            </w:tcMar>
            <w:shd w:fill="243B2B"/>
          </w:tcPr>
          <w:p>
            <w:pPr>
              <w:spacing w:after="40" w:before="40" w:line="245" w:lineRule="auto"/>
            </w:pPr>
            <w:r>
              <w:rPr>
                <w:b/>
                <w:color w:val="FFFFFF"/>
                <w:sz w:val="19"/>
              </w:rPr>
              <w:t>Evidence / gate</w:t>
            </w:r>
          </w:p>
        </w:tc>
      </w:tr>
      <w:tr>
        <w:trPr>
          <w:cantSplit/>
        </w:trPr>
        <w:tc>
          <w:tcPr>
            <w:tcW w:type="dxa" w:w="1296"/>
            <w:vAlign w:val="center"/>
            <w:tcMar>
              <w:top w:w="80" w:type="dxa"/>
              <w:left w:w="80" w:type="dxa"/>
              <w:bottom w:w="80" w:type="dxa"/>
              <w:right w:w="80" w:type="dxa"/>
            </w:tcMar>
            <w:shd w:fill="F1F4F0"/>
          </w:tcPr>
          <w:p>
            <w:pPr>
              <w:spacing w:after="40" w:before="40" w:line="245" w:lineRule="auto"/>
            </w:pPr>
            <w:r>
              <w:rPr>
                <w:sz w:val="19"/>
              </w:rPr>
              <w:t>Preparation</w:t>
            </w:r>
          </w:p>
        </w:tc>
        <w:tc>
          <w:tcPr>
            <w:tcW w:type="dxa" w:w="5256"/>
            <w:vAlign w:val="center"/>
            <w:tcMar>
              <w:top w:w="80" w:type="dxa"/>
              <w:left w:w="80" w:type="dxa"/>
              <w:bottom w:w="80" w:type="dxa"/>
              <w:right w:w="80" w:type="dxa"/>
            </w:tcMar>
            <w:shd w:fill="F1F4F0"/>
          </w:tcPr>
          <w:p>
            <w:pPr>
              <w:spacing w:after="40" w:before="40" w:line="245" w:lineRule="auto"/>
            </w:pPr>
            <w:r>
              <w:rPr>
                <w:sz w:val="19"/>
              </w:rPr>
              <w:t>Resolve institutional review; lock protocol, forms, rubric, AI rules, and permissions. Calibrate raters on sample work.</w:t>
            </w:r>
          </w:p>
        </w:tc>
        <w:tc>
          <w:tcPr>
            <w:tcW w:type="dxa" w:w="3528"/>
            <w:vAlign w:val="center"/>
            <w:tcMar>
              <w:top w:w="80" w:type="dxa"/>
              <w:left w:w="80" w:type="dxa"/>
              <w:bottom w:w="80" w:type="dxa"/>
              <w:right w:w="80" w:type="dxa"/>
            </w:tcMar>
            <w:shd w:fill="F1F4F0"/>
          </w:tcPr>
          <w:p>
            <w:pPr>
              <w:spacing w:after="40" w:before="40" w:line="245" w:lineRule="auto"/>
            </w:pPr>
            <w:r>
              <w:rPr>
                <w:sz w:val="19"/>
              </w:rPr>
              <w:t>G0: sponsor signs readiness; no recruitment before approval.</w:t>
            </w:r>
          </w:p>
        </w:tc>
      </w:tr>
      <w:tr>
        <w:trPr>
          <w:cantSplit/>
        </w:trPr>
        <w:tc>
          <w:tcPr>
            <w:tcW w:type="dxa" w:w="1296"/>
            <w:vAlign w:val="center"/>
            <w:tcMar>
              <w:top w:w="80" w:type="dxa"/>
              <w:left w:w="80" w:type="dxa"/>
              <w:bottom w:w="80" w:type="dxa"/>
              <w:right w:w="80" w:type="dxa"/>
            </w:tcMar>
            <w:shd w:fill="FFFFFF"/>
          </w:tcPr>
          <w:p>
            <w:pPr>
              <w:spacing w:after="40" w:before="40" w:line="245" w:lineRule="auto"/>
            </w:pPr>
            <w:r>
              <w:rPr>
                <w:sz w:val="19"/>
              </w:rPr>
              <w:t>Week 1</w:t>
            </w:r>
          </w:p>
        </w:tc>
        <w:tc>
          <w:tcPr>
            <w:tcW w:type="dxa" w:w="5256"/>
            <w:vAlign w:val="center"/>
            <w:tcMar>
              <w:top w:w="80" w:type="dxa"/>
              <w:left w:w="80" w:type="dxa"/>
              <w:bottom w:w="80" w:type="dxa"/>
              <w:right w:w="80" w:type="dxa"/>
            </w:tcMar>
            <w:shd w:fill="FFFFFF"/>
          </w:tcPr>
          <w:p>
            <w:pPr>
              <w:spacing w:after="40" w:before="40" w:line="245" w:lineRule="auto"/>
            </w:pPr>
            <w:r>
              <w:rPr>
                <w:sz w:val="19"/>
              </w:rPr>
              <w:t>Assess prerequisites and independent baseline. Balance assignment within prior-knowledge bands. Teach the common foundation.</w:t>
            </w:r>
          </w:p>
        </w:tc>
        <w:tc>
          <w:tcPr>
            <w:tcW w:type="dxa" w:w="3528"/>
            <w:vAlign w:val="center"/>
            <w:tcMar>
              <w:top w:w="80" w:type="dxa"/>
              <w:left w:w="80" w:type="dxa"/>
              <w:bottom w:w="80" w:type="dxa"/>
              <w:right w:w="80" w:type="dxa"/>
            </w:tcMar>
            <w:shd w:fill="FFFFFF"/>
          </w:tcPr>
          <w:p>
            <w:pPr>
              <w:spacing w:after="40" w:before="40" w:line="245" w:lineRule="auto"/>
            </w:pPr>
            <w:r>
              <w:rPr>
                <w:sz w:val="19"/>
              </w:rPr>
              <w:t>Baseline artifacts, allocation record, accommodations, locked protocol.</w:t>
            </w:r>
          </w:p>
        </w:tc>
      </w:tr>
      <w:tr>
        <w:trPr>
          <w:cantSplit/>
        </w:trPr>
        <w:tc>
          <w:tcPr>
            <w:tcW w:type="dxa" w:w="1296"/>
            <w:vAlign w:val="center"/>
            <w:tcMar>
              <w:top w:w="80" w:type="dxa"/>
              <w:left w:w="80" w:type="dxa"/>
              <w:bottom w:w="80" w:type="dxa"/>
              <w:right w:w="80" w:type="dxa"/>
            </w:tcMar>
            <w:shd w:fill="F1F4F0"/>
          </w:tcPr>
          <w:p>
            <w:pPr>
              <w:spacing w:after="40" w:before="40" w:line="245" w:lineRule="auto"/>
            </w:pPr>
            <w:r>
              <w:rPr>
                <w:sz w:val="19"/>
              </w:rPr>
              <w:t>Week 2</w:t>
            </w:r>
          </w:p>
        </w:tc>
        <w:tc>
          <w:tcPr>
            <w:tcW w:type="dxa" w:w="5256"/>
            <w:vAlign w:val="center"/>
            <w:tcMar>
              <w:top w:w="80" w:type="dxa"/>
              <w:left w:w="80" w:type="dxa"/>
              <w:bottom w:w="80" w:type="dxa"/>
              <w:right w:w="80" w:type="dxa"/>
            </w:tcMar>
            <w:shd w:fill="F1F4F0"/>
          </w:tcPr>
          <w:p>
            <w:pPr>
              <w:spacing w:after="40" w:before="40" w:line="245" w:lineRule="auto"/>
            </w:pPr>
            <w:r>
              <w:rPr>
                <w:sz w:val="19"/>
              </w:rPr>
              <w:t>Complete a supported energy-budget problem. Intervention group begins explicit CERPA episodes; comparison group uses normal project records.</w:t>
            </w:r>
          </w:p>
        </w:tc>
        <w:tc>
          <w:tcPr>
            <w:tcW w:type="dxa" w:w="3528"/>
            <w:vAlign w:val="center"/>
            <w:tcMar>
              <w:top w:w="80" w:type="dxa"/>
              <w:left w:w="80" w:type="dxa"/>
              <w:bottom w:w="80" w:type="dxa"/>
              <w:right w:w="80" w:type="dxa"/>
            </w:tcMar>
            <w:shd w:fill="F1F4F0"/>
          </w:tcPr>
          <w:p>
            <w:pPr>
              <w:spacing w:after="40" w:before="40" w:line="245" w:lineRule="auto"/>
            </w:pPr>
            <w:r>
              <w:rPr>
                <w:sz w:val="19"/>
              </w:rPr>
              <w:t>Initial claims and predictions; observed documentation burden.</w:t>
            </w:r>
          </w:p>
        </w:tc>
      </w:tr>
      <w:tr>
        <w:trPr>
          <w:cantSplit/>
        </w:trPr>
        <w:tc>
          <w:tcPr>
            <w:tcW w:type="dxa" w:w="1296"/>
            <w:vAlign w:val="center"/>
            <w:tcMar>
              <w:top w:w="80" w:type="dxa"/>
              <w:left w:w="80" w:type="dxa"/>
              <w:bottom w:w="80" w:type="dxa"/>
              <w:right w:w="80" w:type="dxa"/>
            </w:tcMar>
            <w:shd w:fill="FFFFFF"/>
          </w:tcPr>
          <w:p>
            <w:pPr>
              <w:spacing w:after="40" w:before="40" w:line="245" w:lineRule="auto"/>
            </w:pPr>
            <w:r>
              <w:rPr>
                <w:sz w:val="19"/>
              </w:rPr>
              <w:t>Week 3</w:t>
            </w:r>
          </w:p>
        </w:tc>
        <w:tc>
          <w:tcPr>
            <w:tcW w:type="dxa" w:w="5256"/>
            <w:vAlign w:val="center"/>
            <w:tcMar>
              <w:top w:w="80" w:type="dxa"/>
              <w:left w:w="80" w:type="dxa"/>
              <w:bottom w:w="80" w:type="dxa"/>
              <w:right w:w="80" w:type="dxa"/>
            </w:tcMar>
            <w:shd w:fill="FFFFFF"/>
          </w:tcPr>
          <w:p>
            <w:pPr>
              <w:spacing w:after="40" w:before="40" w:line="245" w:lineRule="auto"/>
            </w:pPr>
            <w:r>
              <w:rPr>
                <w:sz w:val="19"/>
              </w:rPr>
              <w:t>Introduce uncertain measurements and a misleading assumption. Learners distinguish observation error from model error.</w:t>
            </w:r>
          </w:p>
        </w:tc>
        <w:tc>
          <w:tcPr>
            <w:tcW w:type="dxa" w:w="3528"/>
            <w:vAlign w:val="center"/>
            <w:tcMar>
              <w:top w:w="80" w:type="dxa"/>
              <w:left w:w="80" w:type="dxa"/>
              <w:bottom w:w="80" w:type="dxa"/>
              <w:right w:w="80" w:type="dxa"/>
            </w:tcMar>
            <w:shd w:fill="FFFFFF"/>
          </w:tcPr>
          <w:p>
            <w:pPr>
              <w:spacing w:after="40" w:before="40" w:line="245" w:lineRule="auto"/>
            </w:pPr>
            <w:r>
              <w:rPr>
                <w:sz w:val="19"/>
              </w:rPr>
              <w:t>Discrepancy reviews, evidence citations, first accountable revision.</w:t>
            </w:r>
          </w:p>
        </w:tc>
      </w:tr>
      <w:tr>
        <w:trPr>
          <w:cantSplit/>
        </w:trPr>
        <w:tc>
          <w:tcPr>
            <w:tcW w:type="dxa" w:w="1296"/>
            <w:vAlign w:val="center"/>
            <w:tcMar>
              <w:top w:w="80" w:type="dxa"/>
              <w:left w:w="80" w:type="dxa"/>
              <w:bottom w:w="80" w:type="dxa"/>
              <w:right w:w="80" w:type="dxa"/>
            </w:tcMar>
            <w:shd w:fill="F1F4F0"/>
          </w:tcPr>
          <w:p>
            <w:pPr>
              <w:spacing w:after="40" w:before="40" w:line="245" w:lineRule="auto"/>
            </w:pPr>
            <w:r>
              <w:rPr>
                <w:sz w:val="19"/>
              </w:rPr>
              <w:t>Week 4</w:t>
            </w:r>
          </w:p>
        </w:tc>
        <w:tc>
          <w:tcPr>
            <w:tcW w:type="dxa" w:w="5256"/>
            <w:vAlign w:val="center"/>
            <w:tcMar>
              <w:top w:w="80" w:type="dxa"/>
              <w:left w:w="80" w:type="dxa"/>
              <w:bottom w:w="80" w:type="dxa"/>
              <w:right w:w="80" w:type="dxa"/>
            </w:tcMar>
            <w:shd w:fill="F1F4F0"/>
          </w:tcPr>
          <w:p>
            <w:pPr>
              <w:spacing w:after="40" w:before="40" w:line="245" w:lineRule="auto"/>
            </w:pPr>
            <w:r>
              <w:rPr>
                <w:sz w:val="19"/>
              </w:rPr>
              <w:t>Change a constraint or stakeholder priority. Test a competing explanation and a failure boundary.</w:t>
            </w:r>
          </w:p>
        </w:tc>
        <w:tc>
          <w:tcPr>
            <w:tcW w:type="dxa" w:w="3528"/>
            <w:vAlign w:val="center"/>
            <w:tcMar>
              <w:top w:w="80" w:type="dxa"/>
              <w:left w:w="80" w:type="dxa"/>
              <w:bottom w:w="80" w:type="dxa"/>
              <w:right w:w="80" w:type="dxa"/>
            </w:tcMar>
            <w:shd w:fill="F1F4F0"/>
          </w:tcPr>
          <w:p>
            <w:pPr>
              <w:spacing w:after="40" w:before="40" w:line="245" w:lineRule="auto"/>
            </w:pPr>
            <w:r>
              <w:rPr>
                <w:sz w:val="19"/>
              </w:rPr>
              <w:t>Revised model; authority rationale; rollback or recovery plan.</w:t>
            </w:r>
          </w:p>
        </w:tc>
      </w:tr>
      <w:tr>
        <w:trPr>
          <w:cantSplit/>
        </w:trPr>
        <w:tc>
          <w:tcPr>
            <w:tcW w:type="dxa" w:w="1296"/>
            <w:vAlign w:val="center"/>
            <w:tcMar>
              <w:top w:w="80" w:type="dxa"/>
              <w:left w:w="80" w:type="dxa"/>
              <w:bottom w:w="80" w:type="dxa"/>
              <w:right w:w="80" w:type="dxa"/>
            </w:tcMar>
            <w:shd w:fill="FFFFFF"/>
          </w:tcPr>
          <w:p>
            <w:pPr>
              <w:spacing w:after="40" w:before="40" w:line="245" w:lineRule="auto"/>
            </w:pPr>
            <w:r>
              <w:rPr>
                <w:sz w:val="19"/>
              </w:rPr>
              <w:t>Week 5</w:t>
            </w:r>
          </w:p>
        </w:tc>
        <w:tc>
          <w:tcPr>
            <w:tcW w:type="dxa" w:w="5256"/>
            <w:vAlign w:val="center"/>
            <w:tcMar>
              <w:top w:w="80" w:type="dxa"/>
              <w:left w:w="80" w:type="dxa"/>
              <w:bottom w:w="80" w:type="dxa"/>
              <w:right w:w="80" w:type="dxa"/>
            </w:tcMar>
            <w:shd w:fill="FFFFFF"/>
          </w:tcPr>
          <w:p>
            <w:pPr>
              <w:spacing w:after="40" w:before="40" w:line="245" w:lineRule="auto"/>
            </w:pPr>
            <w:r>
              <w:rPr>
                <w:sz w:val="19"/>
              </w:rPr>
              <w:t>Attempt a related problem in a new context. Obtain independent peer critique and repair weak explanations.</w:t>
            </w:r>
          </w:p>
        </w:tc>
        <w:tc>
          <w:tcPr>
            <w:tcW w:type="dxa" w:w="3528"/>
            <w:vAlign w:val="center"/>
            <w:tcMar>
              <w:top w:w="80" w:type="dxa"/>
              <w:left w:w="80" w:type="dxa"/>
              <w:bottom w:w="80" w:type="dxa"/>
              <w:right w:w="80" w:type="dxa"/>
            </w:tcMar>
            <w:shd w:fill="FFFFFF"/>
          </w:tcPr>
          <w:p>
            <w:pPr>
              <w:spacing w:after="40" w:before="40" w:line="245" w:lineRule="auto"/>
            </w:pPr>
            <w:r>
              <w:rPr>
                <w:sz w:val="19"/>
              </w:rPr>
              <w:t>Near-transfer work; original and revised arguments retained.</w:t>
            </w:r>
          </w:p>
        </w:tc>
      </w:tr>
      <w:tr>
        <w:trPr>
          <w:cantSplit/>
        </w:trPr>
        <w:tc>
          <w:tcPr>
            <w:tcW w:type="dxa" w:w="1296"/>
            <w:vAlign w:val="center"/>
            <w:tcMar>
              <w:top w:w="80" w:type="dxa"/>
              <w:left w:w="80" w:type="dxa"/>
              <w:bottom w:w="80" w:type="dxa"/>
              <w:right w:w="80" w:type="dxa"/>
            </w:tcMar>
            <w:shd w:fill="F1F4F0"/>
          </w:tcPr>
          <w:p>
            <w:pPr>
              <w:spacing w:after="40" w:before="40" w:line="245" w:lineRule="auto"/>
            </w:pPr>
            <w:r>
              <w:rPr>
                <w:sz w:val="19"/>
              </w:rPr>
              <w:t>Week 6</w:t>
            </w:r>
          </w:p>
        </w:tc>
        <w:tc>
          <w:tcPr>
            <w:tcW w:type="dxa" w:w="5256"/>
            <w:vAlign w:val="center"/>
            <w:tcMar>
              <w:top w:w="80" w:type="dxa"/>
              <w:left w:w="80" w:type="dxa"/>
              <w:bottom w:w="80" w:type="dxa"/>
              <w:right w:w="80" w:type="dxa"/>
            </w:tcMar>
            <w:shd w:fill="F1F4F0"/>
          </w:tcPr>
          <w:p>
            <w:pPr>
              <w:spacing w:after="40" w:before="40" w:line="245" w:lineRule="auto"/>
            </w:pPr>
            <w:r>
              <w:rPr>
                <w:sz w:val="19"/>
              </w:rPr>
              <w:t>Run the locked independent transfer assessment, then a separate AI-assisted task. Collect workload and usability reports.</w:t>
            </w:r>
          </w:p>
        </w:tc>
        <w:tc>
          <w:tcPr>
            <w:tcW w:type="dxa" w:w="3528"/>
            <w:vAlign w:val="center"/>
            <w:tcMar>
              <w:top w:w="80" w:type="dxa"/>
              <w:left w:w="80" w:type="dxa"/>
              <w:bottom w:w="80" w:type="dxa"/>
              <w:right w:w="80" w:type="dxa"/>
            </w:tcMar>
            <w:shd w:fill="F1F4F0"/>
          </w:tcPr>
          <w:p>
            <w:pPr>
              <w:spacing w:after="40" w:before="40" w:line="245" w:lineRule="auto"/>
            </w:pPr>
            <w:r>
              <w:rPr>
                <w:sz w:val="19"/>
              </w:rPr>
              <w:t>Blind scores; protocol deviations; G1 feasibility review.</w:t>
            </w:r>
          </w:p>
        </w:tc>
      </w:tr>
      <w:tr>
        <w:trPr>
          <w:cantSplit/>
        </w:trPr>
        <w:tc>
          <w:tcPr>
            <w:tcW w:type="dxa" w:w="1296"/>
            <w:vAlign w:val="center"/>
            <w:tcMar>
              <w:top w:w="80" w:type="dxa"/>
              <w:left w:w="80" w:type="dxa"/>
              <w:bottom w:w="80" w:type="dxa"/>
              <w:right w:w="80" w:type="dxa"/>
            </w:tcMar>
            <w:shd w:fill="FFFFFF"/>
          </w:tcPr>
          <w:p>
            <w:pPr>
              <w:spacing w:after="40" w:before="40" w:line="245" w:lineRule="auto"/>
            </w:pPr>
            <w:r>
              <w:rPr>
                <w:sz w:val="19"/>
              </w:rPr>
              <w:t>Week 8</w:t>
            </w:r>
          </w:p>
        </w:tc>
        <w:tc>
          <w:tcPr>
            <w:tcW w:type="dxa" w:w="5256"/>
            <w:vAlign w:val="center"/>
            <w:tcMar>
              <w:top w:w="80" w:type="dxa"/>
              <w:left w:w="80" w:type="dxa"/>
              <w:bottom w:w="80" w:type="dxa"/>
              <w:right w:w="80" w:type="dxa"/>
            </w:tcMar>
            <w:shd w:fill="FFFFFF"/>
          </w:tcPr>
          <w:p>
            <w:pPr>
              <w:spacing w:after="40" w:before="40" w:line="245" w:lineRule="auto"/>
            </w:pPr>
            <w:r>
              <w:rPr>
                <w:sz w:val="19"/>
              </w:rPr>
              <w:t>Run a new independent form without repeating the taught example. Record intervening practice or AI use.</w:t>
            </w:r>
          </w:p>
        </w:tc>
        <w:tc>
          <w:tcPr>
            <w:tcW w:type="dxa" w:w="3528"/>
            <w:vAlign w:val="center"/>
            <w:tcMar>
              <w:top w:w="80" w:type="dxa"/>
              <w:left w:w="80" w:type="dxa"/>
              <w:bottom w:w="80" w:type="dxa"/>
              <w:right w:w="80" w:type="dxa"/>
            </w:tcMar>
            <w:shd w:fill="FFFFFF"/>
          </w:tcPr>
          <w:p>
            <w:pPr>
              <w:spacing w:after="40" w:before="40" w:line="245" w:lineRule="auto"/>
            </w:pPr>
            <w:r>
              <w:rPr>
                <w:sz w:val="19"/>
              </w:rPr>
              <w:t>Delayed retention/transfer evidence; G2 stop/repair/larger-study decision.</w:t>
            </w:r>
          </w:p>
        </w:tc>
      </w:tr>
    </w:tbl>
    <w:p>
      <w:pPr>
        <w:spacing w:after="0"/>
      </w:pPr>
    </w:p>
    <w:p>
      <w:pPr>
        <w:pStyle w:val="Heading2"/>
      </w:pPr>
      <w:r>
        <w:t>Weekly operating review: 20 minutes</w:t>
      </w:r>
    </w:p>
    <w:p>
      <w:r>
        <w:t>The faculty lead and steward review missing records, student burden, access barriers, score disputes, and any evidence-integrity incidents. They do not inspect outcome differences to quietly change the success criteria. Necessary protocol changes are versioned and reported as deviations.</w:t>
      </w:r>
    </w:p>
    <w:p>
      <w:pPr>
        <w:pStyle w:val="Heading2"/>
      </w:pPr>
      <w:r>
        <w:t>Learner support</w:t>
      </w:r>
    </w:p>
    <w:p>
      <w:r>
        <w:t>Provide worked examples and targeted reteaching to both groups when prerequisite gaps appear. Record extra help and its duration. Protect fair access to instruction; the study is not a justification for withholding normal learning support.</w:t>
      </w:r>
    </w:p>
    <w:p>
      <w:r>
        <w:br w:type="page"/>
      </w:r>
    </w:p>
    <w:p>
      <w:pPr>
        <w:pStyle w:val="Caption"/>
      </w:pPr>
      <w:r>
        <w:t>07  /  IMPLEMENTATION PLAYBOOK</w:t>
      </w:r>
    </w:p>
    <w:p>
      <w:pPr>
        <w:pStyle w:val="Heading1"/>
      </w:pPr>
      <w:r>
        <w:t>Assessment that can be defended</w:t>
      </w:r>
    </w:p>
    <w:p>
      <w:r>
        <w:t>Proposed rubric v0.1. It measures performance on specified tasks, not general intelligence, personality, or career potential.</w:t>
      </w:r>
    </w:p>
    <w:tbl>
      <w:tblPr>
        <w:tblW w:type="auto" w:w="0"/>
        <w:jc w:val="center"/>
        <w:tblLayout w:type="fixed"/>
        <w:tblLook w:firstColumn="1" w:firstRow="1" w:lastColumn="0" w:lastRow="0" w:noHBand="0" w:noVBand="1" w:val="04A0"/>
      </w:tblPr>
      <w:tblGrid>
        <w:gridCol w:w="1483"/>
        <w:gridCol w:w="2333"/>
        <w:gridCol w:w="2664"/>
        <w:gridCol w:w="3600"/>
      </w:tblGrid>
      <w:tr>
        <w:trPr>
          <w:cantSplit/>
          <w:tblHeader/>
        </w:trPr>
        <w:tc>
          <w:tcPr>
            <w:tcW w:type="dxa" w:w="1483"/>
            <w:vAlign w:val="center"/>
            <w:tcMar>
              <w:top w:w="80" w:type="dxa"/>
              <w:left w:w="80" w:type="dxa"/>
              <w:bottom w:w="80" w:type="dxa"/>
              <w:right w:w="80" w:type="dxa"/>
            </w:tcMar>
            <w:shd w:fill="243B2B"/>
          </w:tcPr>
          <w:p>
            <w:pPr>
              <w:spacing w:after="40" w:before="40" w:line="245" w:lineRule="auto"/>
            </w:pPr>
            <w:r>
              <w:rPr>
                <w:b/>
                <w:color w:val="FFFFFF"/>
                <w:sz w:val="18"/>
              </w:rPr>
              <w:t>Dimension</w:t>
            </w:r>
          </w:p>
        </w:tc>
        <w:tc>
          <w:tcPr>
            <w:tcW w:type="dxa" w:w="2333"/>
            <w:vAlign w:val="center"/>
            <w:tcMar>
              <w:top w:w="80" w:type="dxa"/>
              <w:left w:w="80" w:type="dxa"/>
              <w:bottom w:w="80" w:type="dxa"/>
              <w:right w:w="80" w:type="dxa"/>
            </w:tcMar>
            <w:shd w:fill="243B2B"/>
          </w:tcPr>
          <w:p>
            <w:pPr>
              <w:spacing w:after="40" w:before="40" w:line="245" w:lineRule="auto"/>
            </w:pPr>
            <w:r>
              <w:rPr>
                <w:b/>
                <w:color w:val="FFFFFF"/>
                <w:sz w:val="18"/>
              </w:rPr>
              <w:t>0: no valid demonstration</w:t>
            </w:r>
          </w:p>
        </w:tc>
        <w:tc>
          <w:tcPr>
            <w:tcW w:type="dxa" w:w="2664"/>
            <w:vAlign w:val="center"/>
            <w:tcMar>
              <w:top w:w="80" w:type="dxa"/>
              <w:left w:w="80" w:type="dxa"/>
              <w:bottom w:w="80" w:type="dxa"/>
              <w:right w:w="80" w:type="dxa"/>
            </w:tcMar>
            <w:shd w:fill="243B2B"/>
          </w:tcPr>
          <w:p>
            <w:pPr>
              <w:spacing w:after="40" w:before="40" w:line="245" w:lineRule="auto"/>
            </w:pPr>
            <w:r>
              <w:rPr>
                <w:b/>
                <w:color w:val="FFFFFF"/>
                <w:sz w:val="18"/>
              </w:rPr>
              <w:t>2: partial demonstration</w:t>
            </w:r>
          </w:p>
        </w:tc>
        <w:tc>
          <w:tcPr>
            <w:tcW w:type="dxa" w:w="3600"/>
            <w:vAlign w:val="center"/>
            <w:tcMar>
              <w:top w:w="80" w:type="dxa"/>
              <w:left w:w="80" w:type="dxa"/>
              <w:bottom w:w="80" w:type="dxa"/>
              <w:right w:w="80" w:type="dxa"/>
            </w:tcMar>
            <w:shd w:fill="243B2B"/>
          </w:tcPr>
          <w:p>
            <w:pPr>
              <w:spacing w:after="40" w:before="40" w:line="245" w:lineRule="auto"/>
            </w:pPr>
            <w:r>
              <w:rPr>
                <w:b/>
                <w:color w:val="FFFFFF"/>
                <w:sz w:val="18"/>
              </w:rPr>
              <w:t>4: independent and bounded</w:t>
            </w:r>
          </w:p>
        </w:tc>
      </w:tr>
      <w:tr>
        <w:trPr>
          <w:cantSplit/>
        </w:trPr>
        <w:tc>
          <w:tcPr>
            <w:tcW w:type="dxa" w:w="1483"/>
            <w:vAlign w:val="center"/>
            <w:tcMar>
              <w:top w:w="80" w:type="dxa"/>
              <w:left w:w="80" w:type="dxa"/>
              <w:bottom w:w="80" w:type="dxa"/>
              <w:right w:w="80" w:type="dxa"/>
            </w:tcMar>
            <w:shd w:fill="F1F4F0"/>
          </w:tcPr>
          <w:p>
            <w:pPr>
              <w:spacing w:after="40" w:before="40" w:line="245" w:lineRule="auto"/>
            </w:pPr>
            <w:r>
              <w:rPr>
                <w:sz w:val="18"/>
              </w:rPr>
              <w:t>Foundations</w:t>
            </w:r>
          </w:p>
        </w:tc>
        <w:tc>
          <w:tcPr>
            <w:tcW w:type="dxa" w:w="2333"/>
            <w:vAlign w:val="center"/>
            <w:tcMar>
              <w:top w:w="80" w:type="dxa"/>
              <w:left w:w="80" w:type="dxa"/>
              <w:bottom w:w="80" w:type="dxa"/>
              <w:right w:w="80" w:type="dxa"/>
            </w:tcMar>
            <w:shd w:fill="F1F4F0"/>
          </w:tcPr>
          <w:p>
            <w:pPr>
              <w:spacing w:after="40" w:before="40" w:line="245" w:lineRule="auto"/>
            </w:pPr>
            <w:r>
              <w:rPr>
                <w:sz w:val="18"/>
              </w:rPr>
              <w:t>Premises missing or wrong.</w:t>
            </w:r>
          </w:p>
        </w:tc>
        <w:tc>
          <w:tcPr>
            <w:tcW w:type="dxa" w:w="2664"/>
            <w:vAlign w:val="center"/>
            <w:tcMar>
              <w:top w:w="80" w:type="dxa"/>
              <w:left w:w="80" w:type="dxa"/>
              <w:bottom w:w="80" w:type="dxa"/>
              <w:right w:w="80" w:type="dxa"/>
            </w:tcMar>
            <w:shd w:fill="F1F4F0"/>
          </w:tcPr>
          <w:p>
            <w:pPr>
              <w:spacing w:after="40" w:before="40" w:line="245" w:lineRule="auto"/>
            </w:pPr>
            <w:r>
              <w:rPr>
                <w:sz w:val="18"/>
              </w:rPr>
              <w:t>Some relevant premises; assumptions mixed with facts.</w:t>
            </w:r>
          </w:p>
        </w:tc>
        <w:tc>
          <w:tcPr>
            <w:tcW w:type="dxa" w:w="3600"/>
            <w:vAlign w:val="center"/>
            <w:tcMar>
              <w:top w:w="80" w:type="dxa"/>
              <w:left w:w="80" w:type="dxa"/>
              <w:bottom w:w="80" w:type="dxa"/>
              <w:right w:w="80" w:type="dxa"/>
            </w:tcMar>
            <w:shd w:fill="F1F4F0"/>
          </w:tcPr>
          <w:p>
            <w:pPr>
              <w:spacing w:after="40" w:before="40" w:line="245" w:lineRule="auto"/>
            </w:pPr>
            <w:r>
              <w:rPr>
                <w:sz w:val="18"/>
              </w:rPr>
              <w:t>Correct premises; definitions, evidence, assumptions, and choices separated.</w:t>
            </w:r>
          </w:p>
        </w:tc>
      </w:tr>
      <w:tr>
        <w:trPr>
          <w:cantSplit/>
        </w:trPr>
        <w:tc>
          <w:tcPr>
            <w:tcW w:type="dxa" w:w="1483"/>
            <w:vAlign w:val="center"/>
            <w:tcMar>
              <w:top w:w="80" w:type="dxa"/>
              <w:left w:w="80" w:type="dxa"/>
              <w:bottom w:w="80" w:type="dxa"/>
              <w:right w:w="80" w:type="dxa"/>
            </w:tcMar>
            <w:shd w:fill="FFFFFF"/>
          </w:tcPr>
          <w:p>
            <w:pPr>
              <w:spacing w:after="40" w:before="40" w:line="245" w:lineRule="auto"/>
            </w:pPr>
            <w:r>
              <w:rPr>
                <w:sz w:val="18"/>
              </w:rPr>
              <w:t>Derivation</w:t>
            </w:r>
          </w:p>
        </w:tc>
        <w:tc>
          <w:tcPr>
            <w:tcW w:type="dxa" w:w="2333"/>
            <w:vAlign w:val="center"/>
            <w:tcMar>
              <w:top w:w="80" w:type="dxa"/>
              <w:left w:w="80" w:type="dxa"/>
              <w:bottom w:w="80" w:type="dxa"/>
              <w:right w:w="80" w:type="dxa"/>
            </w:tcMar>
            <w:shd w:fill="FFFFFF"/>
          </w:tcPr>
          <w:p>
            <w:pPr>
              <w:spacing w:after="40" w:before="40" w:line="245" w:lineRule="auto"/>
            </w:pPr>
            <w:r>
              <w:rPr>
                <w:sz w:val="18"/>
              </w:rPr>
              <w:t>Conclusion unsupported.</w:t>
            </w:r>
          </w:p>
        </w:tc>
        <w:tc>
          <w:tcPr>
            <w:tcW w:type="dxa" w:w="2664"/>
            <w:vAlign w:val="center"/>
            <w:tcMar>
              <w:top w:w="80" w:type="dxa"/>
              <w:left w:w="80" w:type="dxa"/>
              <w:bottom w:w="80" w:type="dxa"/>
              <w:right w:w="80" w:type="dxa"/>
            </w:tcMar>
            <w:shd w:fill="FFFFFF"/>
          </w:tcPr>
          <w:p>
            <w:pPr>
              <w:spacing w:after="40" w:before="40" w:line="245" w:lineRule="auto"/>
            </w:pPr>
            <w:r>
              <w:rPr>
                <w:sz w:val="18"/>
              </w:rPr>
              <w:t>Plausible chain with important gaps.</w:t>
            </w:r>
          </w:p>
        </w:tc>
        <w:tc>
          <w:tcPr>
            <w:tcW w:type="dxa" w:w="3600"/>
            <w:vAlign w:val="center"/>
            <w:tcMar>
              <w:top w:w="80" w:type="dxa"/>
              <w:left w:w="80" w:type="dxa"/>
              <w:bottom w:w="80" w:type="dxa"/>
              <w:right w:w="80" w:type="dxa"/>
            </w:tcMar>
            <w:shd w:fill="FFFFFF"/>
          </w:tcPr>
          <w:p>
            <w:pPr>
              <w:spacing w:after="40" w:before="40" w:line="245" w:lineRule="auto"/>
            </w:pPr>
            <w:r>
              <w:rPr>
                <w:sz w:val="18"/>
              </w:rPr>
              <w:t>Traceable reasoning; units and alternatives checked.</w:t>
            </w:r>
          </w:p>
        </w:tc>
      </w:tr>
      <w:tr>
        <w:trPr>
          <w:cantSplit/>
        </w:trPr>
        <w:tc>
          <w:tcPr>
            <w:tcW w:type="dxa" w:w="1483"/>
            <w:vAlign w:val="center"/>
            <w:tcMar>
              <w:top w:w="80" w:type="dxa"/>
              <w:left w:w="80" w:type="dxa"/>
              <w:bottom w:w="80" w:type="dxa"/>
              <w:right w:w="80" w:type="dxa"/>
            </w:tcMar>
            <w:shd w:fill="F1F4F0"/>
          </w:tcPr>
          <w:p>
            <w:pPr>
              <w:spacing w:after="40" w:before="40" w:line="245" w:lineRule="auto"/>
            </w:pPr>
            <w:r>
              <w:rPr>
                <w:sz w:val="18"/>
              </w:rPr>
              <w:t>Evidence</w:t>
            </w:r>
          </w:p>
        </w:tc>
        <w:tc>
          <w:tcPr>
            <w:tcW w:type="dxa" w:w="2333"/>
            <w:vAlign w:val="center"/>
            <w:tcMar>
              <w:top w:w="80" w:type="dxa"/>
              <w:left w:w="80" w:type="dxa"/>
              <w:bottom w:w="80" w:type="dxa"/>
              <w:right w:w="80" w:type="dxa"/>
            </w:tcMar>
            <w:shd w:fill="F1F4F0"/>
          </w:tcPr>
          <w:p>
            <w:pPr>
              <w:spacing w:after="40" w:before="40" w:line="245" w:lineRule="auto"/>
            </w:pPr>
            <w:r>
              <w:rPr>
                <w:sz w:val="18"/>
              </w:rPr>
              <w:t>No usable evidence or fabricated support.</w:t>
            </w:r>
          </w:p>
        </w:tc>
        <w:tc>
          <w:tcPr>
            <w:tcW w:type="dxa" w:w="2664"/>
            <w:vAlign w:val="center"/>
            <w:tcMar>
              <w:top w:w="80" w:type="dxa"/>
              <w:left w:w="80" w:type="dxa"/>
              <w:bottom w:w="80" w:type="dxa"/>
              <w:right w:w="80" w:type="dxa"/>
            </w:tcMar>
            <w:shd w:fill="F1F4F0"/>
          </w:tcPr>
          <w:p>
            <w:pPr>
              <w:spacing w:after="40" w:before="40" w:line="245" w:lineRule="auto"/>
            </w:pPr>
            <w:r>
              <w:rPr>
                <w:sz w:val="18"/>
              </w:rPr>
              <w:t>Some evidence; method or relevance incompletely explained.</w:t>
            </w:r>
          </w:p>
        </w:tc>
        <w:tc>
          <w:tcPr>
            <w:tcW w:type="dxa" w:w="3600"/>
            <w:vAlign w:val="center"/>
            <w:tcMar>
              <w:top w:w="80" w:type="dxa"/>
              <w:left w:w="80" w:type="dxa"/>
              <w:bottom w:w="80" w:type="dxa"/>
              <w:right w:w="80" w:type="dxa"/>
            </w:tcMar>
            <w:shd w:fill="F1F4F0"/>
          </w:tcPr>
          <w:p>
            <w:pPr>
              <w:spacing w:after="40" w:before="40" w:line="245" w:lineRule="auto"/>
            </w:pPr>
            <w:r>
              <w:rPr>
                <w:sz w:val="18"/>
              </w:rPr>
              <w:t>Appropriate evidence; provenance, method, uncertainty, and contradictions addressed.</w:t>
            </w:r>
          </w:p>
        </w:tc>
      </w:tr>
      <w:tr>
        <w:trPr>
          <w:cantSplit/>
        </w:trPr>
        <w:tc>
          <w:tcPr>
            <w:tcW w:type="dxa" w:w="1483"/>
            <w:vAlign w:val="center"/>
            <w:tcMar>
              <w:top w:w="80" w:type="dxa"/>
              <w:left w:w="80" w:type="dxa"/>
              <w:bottom w:w="80" w:type="dxa"/>
              <w:right w:w="80" w:type="dxa"/>
            </w:tcMar>
            <w:shd w:fill="FFFFFF"/>
          </w:tcPr>
          <w:p>
            <w:pPr>
              <w:spacing w:after="40" w:before="40" w:line="245" w:lineRule="auto"/>
            </w:pPr>
            <w:r>
              <w:rPr>
                <w:sz w:val="18"/>
              </w:rPr>
              <w:t>Boundaries</w:t>
            </w:r>
          </w:p>
        </w:tc>
        <w:tc>
          <w:tcPr>
            <w:tcW w:type="dxa" w:w="2333"/>
            <w:vAlign w:val="center"/>
            <w:tcMar>
              <w:top w:w="80" w:type="dxa"/>
              <w:left w:w="80" w:type="dxa"/>
              <w:bottom w:w="80" w:type="dxa"/>
              <w:right w:w="80" w:type="dxa"/>
            </w:tcMar>
            <w:shd w:fill="FFFFFF"/>
          </w:tcPr>
          <w:p>
            <w:pPr>
              <w:spacing w:after="40" w:before="40" w:line="245" w:lineRule="auto"/>
            </w:pPr>
            <w:r>
              <w:rPr>
                <w:sz w:val="18"/>
              </w:rPr>
              <w:t>Unqualified conclusion.</w:t>
            </w:r>
          </w:p>
        </w:tc>
        <w:tc>
          <w:tcPr>
            <w:tcW w:type="dxa" w:w="2664"/>
            <w:vAlign w:val="center"/>
            <w:tcMar>
              <w:top w:w="80" w:type="dxa"/>
              <w:left w:w="80" w:type="dxa"/>
              <w:bottom w:w="80" w:type="dxa"/>
              <w:right w:w="80" w:type="dxa"/>
            </w:tcMar>
            <w:shd w:fill="FFFFFF"/>
          </w:tcPr>
          <w:p>
            <w:pPr>
              <w:spacing w:after="40" w:before="40" w:line="245" w:lineRule="auto"/>
            </w:pPr>
            <w:r>
              <w:rPr>
                <w:sz w:val="18"/>
              </w:rPr>
              <w:t>Some limits named; trigger or scope incomplete.</w:t>
            </w:r>
          </w:p>
        </w:tc>
        <w:tc>
          <w:tcPr>
            <w:tcW w:type="dxa" w:w="3600"/>
            <w:vAlign w:val="center"/>
            <w:tcMar>
              <w:top w:w="80" w:type="dxa"/>
              <w:left w:w="80" w:type="dxa"/>
              <w:bottom w:w="80" w:type="dxa"/>
              <w:right w:w="80" w:type="dxa"/>
            </w:tcMar>
            <w:shd w:fill="FFFFFF"/>
          </w:tcPr>
          <w:p>
            <w:pPr>
              <w:spacing w:after="40" w:before="40" w:line="245" w:lineRule="auto"/>
            </w:pPr>
            <w:r>
              <w:rPr>
                <w:sz w:val="18"/>
              </w:rPr>
              <w:t>Scope, resolution, horizon, uncertainty basis, and re-observation trigger defended.</w:t>
            </w:r>
          </w:p>
        </w:tc>
      </w:tr>
      <w:tr>
        <w:trPr>
          <w:cantSplit/>
        </w:trPr>
        <w:tc>
          <w:tcPr>
            <w:tcW w:type="dxa" w:w="1483"/>
            <w:vAlign w:val="center"/>
            <w:tcMar>
              <w:top w:w="80" w:type="dxa"/>
              <w:left w:w="80" w:type="dxa"/>
              <w:bottom w:w="80" w:type="dxa"/>
              <w:right w:w="80" w:type="dxa"/>
            </w:tcMar>
            <w:shd w:fill="F1F4F0"/>
          </w:tcPr>
          <w:p>
            <w:pPr>
              <w:spacing w:after="40" w:before="40" w:line="245" w:lineRule="auto"/>
            </w:pPr>
            <w:r>
              <w:rPr>
                <w:sz w:val="18"/>
              </w:rPr>
              <w:t>Revision</w:t>
            </w:r>
          </w:p>
        </w:tc>
        <w:tc>
          <w:tcPr>
            <w:tcW w:type="dxa" w:w="2333"/>
            <w:vAlign w:val="center"/>
            <w:tcMar>
              <w:top w:w="80" w:type="dxa"/>
              <w:left w:w="80" w:type="dxa"/>
              <w:bottom w:w="80" w:type="dxa"/>
              <w:right w:w="80" w:type="dxa"/>
            </w:tcMar>
            <w:shd w:fill="F1F4F0"/>
          </w:tcPr>
          <w:p>
            <w:pPr>
              <w:spacing w:after="40" w:before="40" w:line="245" w:lineRule="auto"/>
            </w:pPr>
            <w:r>
              <w:rPr>
                <w:sz w:val="18"/>
              </w:rPr>
              <w:t>Error ignored or history overwritten.</w:t>
            </w:r>
          </w:p>
        </w:tc>
        <w:tc>
          <w:tcPr>
            <w:tcW w:type="dxa" w:w="2664"/>
            <w:vAlign w:val="center"/>
            <w:tcMar>
              <w:top w:w="80" w:type="dxa"/>
              <w:left w:w="80" w:type="dxa"/>
              <w:bottom w:w="80" w:type="dxa"/>
              <w:right w:w="80" w:type="dxa"/>
            </w:tcMar>
            <w:shd w:fill="F1F4F0"/>
          </w:tcPr>
          <w:p>
            <w:pPr>
              <w:spacing w:after="40" w:before="40" w:line="245" w:lineRule="auto"/>
            </w:pPr>
            <w:r>
              <w:rPr>
                <w:sz w:val="18"/>
              </w:rPr>
              <w:t>Patch proposed but not fully justified or checked.</w:t>
            </w:r>
          </w:p>
        </w:tc>
        <w:tc>
          <w:tcPr>
            <w:tcW w:type="dxa" w:w="3600"/>
            <w:vAlign w:val="center"/>
            <w:tcMar>
              <w:top w:w="80" w:type="dxa"/>
              <w:left w:w="80" w:type="dxa"/>
              <w:bottom w:w="80" w:type="dxa"/>
              <w:right w:w="80" w:type="dxa"/>
            </w:tcMar>
            <w:shd w:fill="F1F4F0"/>
          </w:tcPr>
          <w:p>
            <w:pPr>
              <w:spacing w:after="40" w:before="40" w:line="245" w:lineRule="auto"/>
            </w:pPr>
            <w:r>
              <w:rPr>
                <w:sz w:val="18"/>
              </w:rPr>
              <w:t>Change responds to evidence; approval and outcome are traceable.</w:t>
            </w:r>
          </w:p>
        </w:tc>
      </w:tr>
      <w:tr>
        <w:trPr>
          <w:cantSplit/>
        </w:trPr>
        <w:tc>
          <w:tcPr>
            <w:tcW w:type="dxa" w:w="1483"/>
            <w:vAlign w:val="center"/>
            <w:tcMar>
              <w:top w:w="80" w:type="dxa"/>
              <w:left w:w="80" w:type="dxa"/>
              <w:bottom w:w="80" w:type="dxa"/>
              <w:right w:w="80" w:type="dxa"/>
            </w:tcMar>
            <w:shd w:fill="FFFFFF"/>
          </w:tcPr>
          <w:p>
            <w:pPr>
              <w:spacing w:after="40" w:before="40" w:line="245" w:lineRule="auto"/>
            </w:pPr>
            <w:r>
              <w:rPr>
                <w:sz w:val="18"/>
              </w:rPr>
              <w:t>Transfer</w:t>
            </w:r>
          </w:p>
        </w:tc>
        <w:tc>
          <w:tcPr>
            <w:tcW w:type="dxa" w:w="2333"/>
            <w:vAlign w:val="center"/>
            <w:tcMar>
              <w:top w:w="80" w:type="dxa"/>
              <w:left w:w="80" w:type="dxa"/>
              <w:bottom w:w="80" w:type="dxa"/>
              <w:right w:w="80" w:type="dxa"/>
            </w:tcMar>
            <w:shd w:fill="FFFFFF"/>
          </w:tcPr>
          <w:p>
            <w:pPr>
              <w:spacing w:after="40" w:before="40" w:line="245" w:lineRule="auto"/>
            </w:pPr>
            <w:r>
              <w:rPr>
                <w:sz w:val="18"/>
              </w:rPr>
              <w:t>Method copied where it does not apply.</w:t>
            </w:r>
          </w:p>
        </w:tc>
        <w:tc>
          <w:tcPr>
            <w:tcW w:type="dxa" w:w="2664"/>
            <w:vAlign w:val="center"/>
            <w:tcMar>
              <w:top w:w="80" w:type="dxa"/>
              <w:left w:w="80" w:type="dxa"/>
              <w:bottom w:w="80" w:type="dxa"/>
              <w:right w:w="80" w:type="dxa"/>
            </w:tcMar>
            <w:shd w:fill="FFFFFF"/>
          </w:tcPr>
          <w:p>
            <w:pPr>
              <w:spacing w:after="40" w:before="40" w:line="245" w:lineRule="auto"/>
            </w:pPr>
            <w:r>
              <w:rPr>
                <w:sz w:val="18"/>
              </w:rPr>
              <w:t>Method adapted with prompting or unexamined assumptions.</w:t>
            </w:r>
          </w:p>
        </w:tc>
        <w:tc>
          <w:tcPr>
            <w:tcW w:type="dxa" w:w="3600"/>
            <w:vAlign w:val="center"/>
            <w:tcMar>
              <w:top w:w="80" w:type="dxa"/>
              <w:left w:w="80" w:type="dxa"/>
              <w:bottom w:w="80" w:type="dxa"/>
              <w:right w:w="80" w:type="dxa"/>
            </w:tcMar>
            <w:shd w:fill="FFFFFF"/>
          </w:tcPr>
          <w:p>
            <w:pPr>
              <w:spacing w:after="40" w:before="40" w:line="245" w:lineRule="auto"/>
            </w:pPr>
            <w:r>
              <w:rPr>
                <w:sz w:val="18"/>
              </w:rPr>
              <w:t>New problem solved independently; learner explains what transfers and what does not.</w:t>
            </w:r>
          </w:p>
        </w:tc>
      </w:tr>
    </w:tbl>
    <w:p>
      <w:pPr>
        <w:spacing w:after="0"/>
      </w:pPr>
    </w:p>
    <w:p>
      <w:r>
        <w:t>Scores 1 and 3 indicate intermediate performance between the adjacent anchors and require a written reason. A completed attempt without valid evidence may score 0. An unadministered task or absent submission stays missing, not zero.</w:t>
      </w:r>
    </w:p>
    <w:p>
      <w:pPr>
        <w:pStyle w:val="Heading2"/>
      </w:pPr>
      <w:r>
        <w:t>Scoring procedure</w:t>
      </w:r>
    </w:p>
    <w:p>
      <w:r>
        <w:t>Use two trained raters for baseline, post, and delayed assessments. Raters first score independently using de-identified, standardized response packets. Retain both records. Then create a separate adjudicated record with a reason for every changed score. Remove group-identifying CERPA formatting where feasible; record blinding failures.</w:t>
      </w:r>
    </w:p>
    <w:p>
      <w:pPr>
        <w:pStyle w:val="Heading2"/>
      </w:pPr>
      <w:r>
        <w:t>Interpreting the result</w:t>
      </w:r>
    </w:p>
    <w:p>
      <w:r>
        <w:t>Keep the six-dimensional profile. A 0–24 total is a transparent operational summary with equal weights, not proof of a single underlying ability. Do not use a high total to hide absent evidence, missing boundaries, or a failed transfer task. Report those limitations explicitly. [6]</w:t>
      </w:r>
    </w:p>
    <w:p>
      <w:pPr>
        <w:pStyle w:val="Heading2"/>
      </w:pPr>
      <w:r>
        <w:t>Quality controls</w:t>
      </w:r>
    </w:p>
    <w:p>
      <w:r>
        <w:t>Calibrate using weak, intermediate, and strong examples before scoring real outcomes. Report exact dimension agreement and disagreements greater than one point before adjudication. Revise ambiguous anchors before launch, not after seeing which group performs better. Offer a documented human appeal and accessible equivalent response formats.</w:t>
      </w:r>
    </w:p>
    <w:p>
      <w:r>
        <w:br w:type="page"/>
      </w:r>
    </w:p>
    <w:p>
      <w:pPr>
        <w:pStyle w:val="Caption"/>
      </w:pPr>
      <w:r>
        <w:t>08  /  IMPLEMENTATION PLAYBOOK</w:t>
      </w:r>
    </w:p>
    <w:p>
      <w:pPr>
        <w:pStyle w:val="Heading1"/>
      </w:pPr>
      <w:r>
        <w:t>Evaluate without overclaiming</w:t>
      </w:r>
    </w:p>
    <w:p>
      <w:r>
        <w:t>Primary outcome: independent transfer after instruction. Feasibility and assessment quality govern what the result can mean.</w:t>
      </w:r>
    </w:p>
    <w:p>
      <w:pPr>
        <w:pStyle w:val="Heading2"/>
      </w:pPr>
      <w:r>
        <w:t>Comparison design</w:t>
      </w:r>
    </w:p>
    <w:p>
      <w:r>
        <w:t>Where approved, allocate 20 learners to two groups of 10 using a recorded random process within broad baseline bands. Both receive the same foundations, problem difficulty, contact time, feedback allowance, approved AI access, and accommodations. Only the explicit episode workflow differs. Keep an active problem-based comparator; do not compare a supported pilot with deliberately weak teaching.</w:t>
      </w:r>
    </w:p>
    <w:p>
      <w:r>
        <w:t>Use parallel tasks at baseline, post, and delay. Counterbalance forms across groups and keep an outcome bank inaccessible to instructors and AI coaching sessions. Record collaboration, tutoring, absence, and tool deviations. If learners work in teams, record team membership and do not treat team outputs as independent student observations.</w:t>
      </w:r>
    </w:p>
    <w:p>
      <w:pPr>
        <w:pStyle w:val="Heading2"/>
      </w:pPr>
      <w:r>
        <w:t>Analysis plan to lock before outcomes</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Mar>
              <w:top w:w="80" w:type="dxa"/>
              <w:left w:w="80" w:type="dxa"/>
              <w:bottom w:w="80" w:type="dxa"/>
              <w:right w:w="80" w:type="dxa"/>
            </w:tcMar>
            <w:shd w:fill="243B2B"/>
          </w:tcPr>
          <w:p>
            <w:pPr>
              <w:spacing w:after="40" w:before="40" w:line="245" w:lineRule="auto"/>
            </w:pPr>
            <w:r>
              <w:rPr>
                <w:b/>
                <w:color w:val="FFFFFF"/>
                <w:sz w:val="19"/>
              </w:rPr>
              <w:t>Measure</w:t>
            </w:r>
          </w:p>
        </w:tc>
        <w:tc>
          <w:tcPr>
            <w:tcW w:type="dxa" w:w="7920"/>
            <w:vAlign w:val="center"/>
            <w:tcMar>
              <w:top w:w="80" w:type="dxa"/>
              <w:left w:w="80" w:type="dxa"/>
              <w:bottom w:w="80" w:type="dxa"/>
              <w:right w:w="80" w:type="dxa"/>
            </w:tcMar>
            <w:shd w:fill="243B2B"/>
          </w:tcPr>
          <w:p>
            <w:pPr>
              <w:spacing w:after="40" w:before="40" w:line="245" w:lineRule="auto"/>
            </w:pPr>
            <w:r>
              <w:rPr>
                <w:b/>
                <w:color w:val="FFFFFF"/>
                <w:sz w:val="19"/>
              </w:rPr>
              <w:t>Definition / reporting rule</w:t>
            </w:r>
          </w:p>
        </w:tc>
      </w:tr>
      <w:tr>
        <w:trPr>
          <w:cantSplit/>
        </w:trPr>
        <w:tc>
          <w:tcPr>
            <w:tcW w:type="dxa" w:w="2160"/>
            <w:vAlign w:val="center"/>
            <w:tcMar>
              <w:top w:w="80" w:type="dxa"/>
              <w:left w:w="80" w:type="dxa"/>
              <w:bottom w:w="80" w:type="dxa"/>
              <w:right w:w="80" w:type="dxa"/>
            </w:tcMar>
            <w:shd w:fill="F1F4F0"/>
          </w:tcPr>
          <w:p>
            <w:pPr>
              <w:spacing w:after="40" w:before="40" w:line="245" w:lineRule="auto"/>
            </w:pPr>
            <w:r>
              <w:rPr>
                <w:sz w:val="19"/>
              </w:rPr>
              <w:t>Primary transfer contrast</w:t>
            </w:r>
          </w:p>
        </w:tc>
        <w:tc>
          <w:tcPr>
            <w:tcW w:type="dxa" w:w="7920"/>
            <w:vAlign w:val="center"/>
            <w:tcMar>
              <w:top w:w="80" w:type="dxa"/>
              <w:left w:w="80" w:type="dxa"/>
              <w:bottom w:w="80" w:type="dxa"/>
              <w:right w:w="80" w:type="dxa"/>
            </w:tcMar>
            <w:shd w:fill="F1F4F0"/>
          </w:tcPr>
          <w:p>
            <w:pPr>
              <w:spacing w:after="40" w:before="40" w:line="245" w:lineRule="auto"/>
            </w:pPr>
            <w:r>
              <w:rPr>
                <w:sz w:val="19"/>
              </w:rPr>
              <w:t>Compare adjudicated independent post scores by assigned group, adjusting for baseline in a prespecified analysis. Report effect estimates with uncertainty.</w:t>
            </w:r>
          </w:p>
        </w:tc>
      </w:tr>
      <w:tr>
        <w:trPr>
          <w:cantSplit/>
        </w:trPr>
        <w:tc>
          <w:tcPr>
            <w:tcW w:type="dxa" w:w="2160"/>
            <w:vAlign w:val="center"/>
            <w:tcMar>
              <w:top w:w="80" w:type="dxa"/>
              <w:left w:w="80" w:type="dxa"/>
              <w:bottom w:w="80" w:type="dxa"/>
              <w:right w:w="80" w:type="dxa"/>
            </w:tcMar>
            <w:shd w:fill="FFFFFF"/>
          </w:tcPr>
          <w:p>
            <w:pPr>
              <w:spacing w:after="40" w:before="40" w:line="245" w:lineRule="auto"/>
            </w:pPr>
            <w:r>
              <w:rPr>
                <w:sz w:val="19"/>
              </w:rPr>
              <w:t>Descriptive change</w:t>
            </w:r>
          </w:p>
        </w:tc>
        <w:tc>
          <w:tcPr>
            <w:tcW w:type="dxa" w:w="7920"/>
            <w:vAlign w:val="center"/>
            <w:tcMar>
              <w:top w:w="80" w:type="dxa"/>
              <w:left w:w="80" w:type="dxa"/>
              <w:bottom w:w="80" w:type="dxa"/>
              <w:right w:w="80" w:type="dxa"/>
            </w:tcMar>
            <w:shd w:fill="FFFFFF"/>
          </w:tcPr>
          <w:p>
            <w:pPr>
              <w:spacing w:after="40" w:before="40" w:line="245" w:lineRule="auto"/>
            </w:pPr>
            <w:r>
              <w:rPr>
                <w:sz w:val="19"/>
              </w:rPr>
              <w:t>For each learner with both scores: post minus baseline. Report each group’s mean change and the difference of those changes. The workbook displays this, not a definitive causal estimate.</w:t>
            </w:r>
          </w:p>
        </w:tc>
      </w:tr>
      <w:tr>
        <w:trPr>
          <w:cantSplit/>
        </w:trPr>
        <w:tc>
          <w:tcPr>
            <w:tcW w:type="dxa" w:w="2160"/>
            <w:vAlign w:val="center"/>
            <w:tcMar>
              <w:top w:w="80" w:type="dxa"/>
              <w:left w:w="80" w:type="dxa"/>
              <w:bottom w:w="80" w:type="dxa"/>
              <w:right w:w="80" w:type="dxa"/>
            </w:tcMar>
            <w:shd w:fill="F1F4F0"/>
          </w:tcPr>
          <w:p>
            <w:pPr>
              <w:spacing w:after="40" w:before="40" w:line="245" w:lineRule="auto"/>
            </w:pPr>
            <w:r>
              <w:rPr>
                <w:sz w:val="19"/>
              </w:rPr>
              <w:t>Delayed outcome</w:t>
            </w:r>
          </w:p>
        </w:tc>
        <w:tc>
          <w:tcPr>
            <w:tcW w:type="dxa" w:w="7920"/>
            <w:vAlign w:val="center"/>
            <w:tcMar>
              <w:top w:w="80" w:type="dxa"/>
              <w:left w:w="80" w:type="dxa"/>
              <w:bottom w:w="80" w:type="dxa"/>
              <w:right w:w="80" w:type="dxa"/>
            </w:tcMar>
            <w:shd w:fill="F1F4F0"/>
          </w:tcPr>
          <w:p>
            <w:pPr>
              <w:spacing w:after="40" w:before="40" w:line="245" w:lineRule="auto"/>
            </w:pPr>
            <w:r>
              <w:rPr>
                <w:sz w:val="19"/>
              </w:rPr>
              <w:t>Use a fresh independent task two weeks later. Report missingness and intervening practice; do not call a post-test result lasting mastery.</w:t>
            </w:r>
          </w:p>
        </w:tc>
      </w:tr>
      <w:tr>
        <w:trPr>
          <w:cantSplit/>
        </w:trPr>
        <w:tc>
          <w:tcPr>
            <w:tcW w:type="dxa" w:w="2160"/>
            <w:vAlign w:val="center"/>
            <w:tcMar>
              <w:top w:w="80" w:type="dxa"/>
              <w:left w:w="80" w:type="dxa"/>
              <w:bottom w:w="80" w:type="dxa"/>
              <w:right w:w="80" w:type="dxa"/>
            </w:tcMar>
            <w:shd w:fill="FFFFFF"/>
          </w:tcPr>
          <w:p>
            <w:pPr>
              <w:spacing w:after="40" w:before="40" w:line="245" w:lineRule="auto"/>
            </w:pPr>
            <w:r>
              <w:rPr>
                <w:sz w:val="19"/>
              </w:rPr>
              <w:t>AI-assisted performance</w:t>
            </w:r>
          </w:p>
        </w:tc>
        <w:tc>
          <w:tcPr>
            <w:tcW w:type="dxa" w:w="7920"/>
            <w:vAlign w:val="center"/>
            <w:tcMar>
              <w:top w:w="80" w:type="dxa"/>
              <w:left w:w="80" w:type="dxa"/>
              <w:bottom w:w="80" w:type="dxa"/>
              <w:right w:w="80" w:type="dxa"/>
            </w:tcMar>
            <w:shd w:fill="FFFFFF"/>
          </w:tcPr>
          <w:p>
            <w:pPr>
              <w:spacing w:after="40" w:before="40" w:line="245" w:lineRule="auto"/>
            </w:pPr>
            <w:r>
              <w:rPr>
                <w:sz w:val="19"/>
              </w:rPr>
              <w:t>Report separately. A difference between assisted and independent scores is task- and condition-specific, not an intelligence multiplier or causal AI effect.</w:t>
            </w:r>
          </w:p>
        </w:tc>
      </w:tr>
      <w:tr>
        <w:trPr>
          <w:cantSplit/>
        </w:trPr>
        <w:tc>
          <w:tcPr>
            <w:tcW w:type="dxa" w:w="2160"/>
            <w:vAlign w:val="center"/>
            <w:tcMar>
              <w:top w:w="80" w:type="dxa"/>
              <w:left w:w="80" w:type="dxa"/>
              <w:bottom w:w="80" w:type="dxa"/>
              <w:right w:w="80" w:type="dxa"/>
            </w:tcMar>
            <w:shd w:fill="F1F4F0"/>
          </w:tcPr>
          <w:p>
            <w:pPr>
              <w:spacing w:after="40" w:before="40" w:line="245" w:lineRule="auto"/>
            </w:pPr>
            <w:r>
              <w:rPr>
                <w:sz w:val="19"/>
              </w:rPr>
              <w:t>Implementation cost</w:t>
            </w:r>
          </w:p>
        </w:tc>
        <w:tc>
          <w:tcPr>
            <w:tcW w:type="dxa" w:w="7920"/>
            <w:vAlign w:val="center"/>
            <w:tcMar>
              <w:top w:w="80" w:type="dxa"/>
              <w:left w:w="80" w:type="dxa"/>
              <w:bottom w:w="80" w:type="dxa"/>
              <w:right w:w="80" w:type="dxa"/>
            </w:tcMar>
            <w:shd w:fill="F1F4F0"/>
          </w:tcPr>
          <w:p>
            <w:pPr>
              <w:spacing w:after="40" w:before="40" w:line="245" w:lineRule="auto"/>
            </w:pPr>
            <w:r>
              <w:rPr>
                <w:sz w:val="19"/>
              </w:rPr>
              <w:t>Record learner documentation minutes, reviewer minutes, completion, access problems, and protocol deviations.</w:t>
            </w:r>
          </w:p>
        </w:tc>
      </w:tr>
      <w:tr>
        <w:trPr>
          <w:cantSplit/>
        </w:trPr>
        <w:tc>
          <w:tcPr>
            <w:tcW w:type="dxa" w:w="2160"/>
            <w:vAlign w:val="center"/>
            <w:tcMar>
              <w:top w:w="80" w:type="dxa"/>
              <w:left w:w="80" w:type="dxa"/>
              <w:bottom w:w="80" w:type="dxa"/>
              <w:right w:w="80" w:type="dxa"/>
            </w:tcMar>
            <w:shd w:fill="FFFFFF"/>
          </w:tcPr>
          <w:p>
            <w:pPr>
              <w:spacing w:after="40" w:before="40" w:line="245" w:lineRule="auto"/>
            </w:pPr>
            <w:r>
              <w:rPr>
                <w:sz w:val="19"/>
              </w:rPr>
              <w:t>Missingness</w:t>
            </w:r>
          </w:p>
        </w:tc>
        <w:tc>
          <w:tcPr>
            <w:tcW w:type="dxa" w:w="7920"/>
            <w:vAlign w:val="center"/>
            <w:tcMar>
              <w:top w:w="80" w:type="dxa"/>
              <w:left w:w="80" w:type="dxa"/>
              <w:bottom w:w="80" w:type="dxa"/>
              <w:right w:w="80" w:type="dxa"/>
            </w:tcMar>
            <w:shd w:fill="FFFFFF"/>
          </w:tcPr>
          <w:p>
            <w:pPr>
              <w:spacing w:after="40" w:before="40" w:line="245" w:lineRule="auto"/>
            </w:pPr>
            <w:r>
              <w:rPr>
                <w:sz w:val="19"/>
              </w:rPr>
              <w:t>Report all allocated learners and reasons for missing outcomes by group. No automatic zero substitution and no unannounced removal of difficult cases.</w:t>
            </w:r>
          </w:p>
        </w:tc>
      </w:tr>
    </w:tbl>
    <w:p>
      <w:pPr>
        <w:spacing w:after="0"/>
      </w:pPr>
    </w:p>
    <w:p>
      <w:pPr>
        <w:pStyle w:val="Heading2"/>
      </w:pPr>
      <w:r>
        <w:t>Sample-size and inference boundary</w:t>
      </w:r>
    </w:p>
    <w:p>
      <w:r>
        <w:t>Twenty learners can reveal workflow failures and help estimate workload; it cannot reliably settle a broad claim about higher education. A nonsignificant result is not proof of no effect. A favorable result is not proof of general effectiveness. Have an evaluation specialist specify the model, uncertainty method, and a justified sample size for any follow-on study.</w:t>
      </w:r>
    </w:p>
    <w:p>
      <w:r>
        <w:br w:type="page"/>
      </w:r>
    </w:p>
    <w:p>
      <w:pPr>
        <w:pStyle w:val="Caption"/>
      </w:pPr>
      <w:r>
        <w:t>09  /  IMPLEMENTATION PLAYBOOK</w:t>
      </w:r>
    </w:p>
    <w:p>
      <w:pPr>
        <w:pStyle w:val="Heading1"/>
      </w:pPr>
      <w:r>
        <w:t>Worked episode: the power budget</w:t>
      </w:r>
    </w:p>
    <w:p>
      <w:r>
        <w:t>All data below are synthetic teaching inputs. No battery, classroom, or learner outcome was measured.</w:t>
      </w:r>
    </w:p>
    <w:p>
      <w:r>
        <w:t>Episode DEMO-001 asks whether a campus communication station can support an authorized minimum service for six hours. The rule is energy accounting; the six-hour target and which services matter are human choices, not physical laws.</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Mar>
              <w:top w:w="80" w:type="dxa"/>
              <w:left w:w="80" w:type="dxa"/>
              <w:bottom w:w="80" w:type="dxa"/>
              <w:right w:w="80" w:type="dxa"/>
            </w:tcMar>
            <w:shd w:fill="243B2B"/>
          </w:tcPr>
          <w:p>
            <w:pPr>
              <w:spacing w:after="40" w:before="40" w:line="245" w:lineRule="auto"/>
            </w:pPr>
            <w:r>
              <w:rPr>
                <w:b/>
                <w:color w:val="FFFFFF"/>
                <w:sz w:val="19"/>
              </w:rPr>
              <w:t>CERPA item</w:t>
            </w:r>
          </w:p>
        </w:tc>
        <w:tc>
          <w:tcPr>
            <w:tcW w:type="dxa" w:w="8136"/>
            <w:vAlign w:val="center"/>
            <w:tcMar>
              <w:top w:w="80" w:type="dxa"/>
              <w:left w:w="80" w:type="dxa"/>
              <w:bottom w:w="80" w:type="dxa"/>
              <w:right w:w="80" w:type="dxa"/>
            </w:tcMar>
            <w:shd w:fill="243B2B"/>
          </w:tcPr>
          <w:p>
            <w:pPr>
              <w:spacing w:after="40" w:before="40" w:line="245" w:lineRule="auto"/>
            </w:pPr>
            <w:r>
              <w:rPr>
                <w:b/>
                <w:color w:val="FFFFFF"/>
                <w:sz w:val="19"/>
              </w:rPr>
              <w:t>Synthetic record</w:t>
            </w:r>
          </w:p>
        </w:tc>
      </w:tr>
      <w:tr>
        <w:trPr>
          <w:cantSplit/>
        </w:trPr>
        <w:tc>
          <w:tcPr>
            <w:tcW w:type="dxa" w:w="1944"/>
            <w:vAlign w:val="center"/>
            <w:tcMar>
              <w:top w:w="80" w:type="dxa"/>
              <w:left w:w="80" w:type="dxa"/>
              <w:bottom w:w="80" w:type="dxa"/>
              <w:right w:w="80" w:type="dxa"/>
            </w:tcMar>
            <w:shd w:fill="F1F4F0"/>
          </w:tcPr>
          <w:p>
            <w:pPr>
              <w:spacing w:after="40" w:before="40" w:line="245" w:lineRule="auto"/>
            </w:pPr>
            <w:r>
              <w:rPr>
                <w:sz w:val="19"/>
              </w:rPr>
              <w:t>C: claim v1</w:t>
            </w:r>
          </w:p>
        </w:tc>
        <w:tc>
          <w:tcPr>
            <w:tcW w:type="dxa" w:w="8136"/>
            <w:vAlign w:val="center"/>
            <w:tcMar>
              <w:top w:w="80" w:type="dxa"/>
              <w:left w:w="80" w:type="dxa"/>
              <w:bottom w:w="80" w:type="dxa"/>
              <w:right w:w="80" w:type="dxa"/>
            </w:tcMar>
            <w:shd w:fill="F1F4F0"/>
          </w:tcPr>
          <w:p>
            <w:pPr>
              <w:spacing w:after="40" w:before="40" w:line="245" w:lineRule="auto"/>
            </w:pPr>
            <w:r>
              <w:rPr>
                <w:sz w:val="19"/>
              </w:rPr>
              <w:t>A nominal 240 Wh supply, usable fraction 0.90, and conversion factor 0.80 provide 172.8 Wh. At a constant assumed 24 W load, predicted runtime is 7.20 h.</w:t>
            </w:r>
          </w:p>
        </w:tc>
      </w:tr>
      <w:tr>
        <w:trPr>
          <w:cantSplit/>
        </w:trPr>
        <w:tc>
          <w:tcPr>
            <w:tcW w:type="dxa" w:w="1944"/>
            <w:vAlign w:val="center"/>
            <w:tcMar>
              <w:top w:w="80" w:type="dxa"/>
              <w:left w:w="80" w:type="dxa"/>
              <w:bottom w:w="80" w:type="dxa"/>
              <w:right w:w="80" w:type="dxa"/>
            </w:tcMar>
            <w:shd w:fill="FFFFFF"/>
          </w:tcPr>
          <w:p>
            <w:pPr>
              <w:spacing w:after="40" w:before="40" w:line="245" w:lineRule="auto"/>
            </w:pPr>
            <w:r>
              <w:rPr>
                <w:sz w:val="19"/>
              </w:rPr>
              <w:t>E: discrepancy</w:t>
            </w:r>
          </w:p>
        </w:tc>
        <w:tc>
          <w:tcPr>
            <w:tcW w:type="dxa" w:w="8136"/>
            <w:vAlign w:val="center"/>
            <w:tcMar>
              <w:top w:w="80" w:type="dxa"/>
              <w:left w:w="80" w:type="dxa"/>
              <w:bottom w:w="80" w:type="dxa"/>
              <w:right w:w="80" w:type="dxa"/>
            </w:tcMar>
            <w:shd w:fill="FFFFFF"/>
          </w:tcPr>
          <w:p>
            <w:pPr>
              <w:spacing w:after="40" w:before="40" w:line="245" w:lineRule="auto"/>
            </w:pPr>
            <w:r>
              <w:rPr>
                <w:sz w:val="19"/>
              </w:rPr>
              <w:t>A scripted observation reports 36 W, not 24 W. Under the same energy assumption, runtime becomes 4.80 h. This is evidence against the load assumption, not against conservation of energy.</w:t>
            </w:r>
          </w:p>
        </w:tc>
      </w:tr>
      <w:tr>
        <w:trPr>
          <w:cantSplit/>
        </w:trPr>
        <w:tc>
          <w:tcPr>
            <w:tcW w:type="dxa" w:w="1944"/>
            <w:vAlign w:val="center"/>
            <w:tcMar>
              <w:top w:w="80" w:type="dxa"/>
              <w:left w:w="80" w:type="dxa"/>
              <w:bottom w:w="80" w:type="dxa"/>
              <w:right w:w="80" w:type="dxa"/>
            </w:tcMar>
            <w:shd w:fill="F1F4F0"/>
          </w:tcPr>
          <w:p>
            <w:pPr>
              <w:spacing w:after="40" w:before="40" w:line="245" w:lineRule="auto"/>
            </w:pPr>
            <w:r>
              <w:rPr>
                <w:sz w:val="19"/>
              </w:rPr>
              <w:t>R: review</w:t>
            </w:r>
          </w:p>
        </w:tc>
        <w:tc>
          <w:tcPr>
            <w:tcW w:type="dxa" w:w="8136"/>
            <w:vAlign w:val="center"/>
            <w:tcMar>
              <w:top w:w="80" w:type="dxa"/>
              <w:left w:w="80" w:type="dxa"/>
              <w:bottom w:w="80" w:type="dxa"/>
              <w:right w:w="80" w:type="dxa"/>
            </w:tcMar>
            <w:shd w:fill="F1F4F0"/>
          </w:tcPr>
          <w:p>
            <w:pPr>
              <w:spacing w:after="40" w:before="40" w:line="245" w:lineRule="auto"/>
            </w:pPr>
            <w:r>
              <w:rPr>
                <w:sz w:val="19"/>
              </w:rPr>
              <w:t>The model omitted a background service. Check load measurements and alternate causes before accepting that explanation. No causal claim follows from a discrepancy alone.</w:t>
            </w:r>
          </w:p>
        </w:tc>
      </w:tr>
      <w:tr>
        <w:trPr>
          <w:cantSplit/>
        </w:trPr>
        <w:tc>
          <w:tcPr>
            <w:tcW w:type="dxa" w:w="1944"/>
            <w:vAlign w:val="center"/>
            <w:tcMar>
              <w:top w:w="80" w:type="dxa"/>
              <w:left w:w="80" w:type="dxa"/>
              <w:bottom w:w="80" w:type="dxa"/>
              <w:right w:w="80" w:type="dxa"/>
            </w:tcMar>
            <w:shd w:fill="FFFFFF"/>
          </w:tcPr>
          <w:p>
            <w:pPr>
              <w:spacing w:after="40" w:before="40" w:line="245" w:lineRule="auto"/>
            </w:pPr>
            <w:r>
              <w:rPr>
                <w:sz w:val="19"/>
              </w:rPr>
              <w:t>P: proposed patch</w:t>
            </w:r>
          </w:p>
        </w:tc>
        <w:tc>
          <w:tcPr>
            <w:tcW w:type="dxa" w:w="8136"/>
            <w:vAlign w:val="center"/>
            <w:tcMar>
              <w:top w:w="80" w:type="dxa"/>
              <w:left w:w="80" w:type="dxa"/>
              <w:bottom w:w="80" w:type="dxa"/>
              <w:right w:w="80" w:type="dxa"/>
            </w:tcMar>
            <w:shd w:fill="FFFFFF"/>
          </w:tcPr>
          <w:p>
            <w:pPr>
              <w:spacing w:after="40" w:before="40" w:line="245" w:lineRule="auto"/>
            </w:pPr>
            <w:r>
              <w:rPr>
                <w:sz w:val="19"/>
              </w:rPr>
              <w:t>Remove nonessential demand to target 24 W. The simulation’s authorized service owner must approve what can be deferred. Add an upper-load check and an energy-availability bound.</w:t>
            </w:r>
          </w:p>
        </w:tc>
      </w:tr>
      <w:tr>
        <w:trPr>
          <w:cantSplit/>
        </w:trPr>
        <w:tc>
          <w:tcPr>
            <w:tcW w:type="dxa" w:w="1944"/>
            <w:vAlign w:val="center"/>
            <w:tcMar>
              <w:top w:w="80" w:type="dxa"/>
              <w:left w:w="80" w:type="dxa"/>
              <w:bottom w:w="80" w:type="dxa"/>
              <w:right w:w="80" w:type="dxa"/>
            </w:tcMar>
            <w:shd w:fill="F1F4F0"/>
          </w:tcPr>
          <w:p>
            <w:pPr>
              <w:spacing w:after="40" w:before="40" w:line="245" w:lineRule="auto"/>
            </w:pPr>
            <w:r>
              <w:rPr>
                <w:sz w:val="19"/>
              </w:rPr>
              <w:t>A: applied scenario</w:t>
            </w:r>
          </w:p>
        </w:tc>
        <w:tc>
          <w:tcPr>
            <w:tcW w:type="dxa" w:w="8136"/>
            <w:vAlign w:val="center"/>
            <w:tcMar>
              <w:top w:w="80" w:type="dxa"/>
              <w:left w:w="80" w:type="dxa"/>
              <w:bottom w:w="80" w:type="dxa"/>
              <w:right w:w="80" w:type="dxa"/>
            </w:tcMar>
            <w:shd w:fill="F1F4F0"/>
          </w:tcPr>
          <w:p>
            <w:pPr>
              <w:spacing w:after="40" w:before="40" w:line="245" w:lineRule="auto"/>
            </w:pPr>
            <w:r>
              <w:rPr>
                <w:sz w:val="19"/>
              </w:rPr>
              <w:t>The scripted revised run reports a constant 26 W. Six-hour consumption is 156 Wh, leaving 16.8 Wh of the assumed usable supply. The result is verified only as arithmetic inside the scenario.</w:t>
            </w:r>
          </w:p>
        </w:tc>
      </w:tr>
      <w:tr>
        <w:trPr>
          <w:cantSplit/>
        </w:trPr>
        <w:tc>
          <w:tcPr>
            <w:tcW w:type="dxa" w:w="1944"/>
            <w:vAlign w:val="center"/>
            <w:tcMar>
              <w:top w:w="80" w:type="dxa"/>
              <w:left w:w="80" w:type="dxa"/>
              <w:bottom w:w="80" w:type="dxa"/>
              <w:right w:w="80" w:type="dxa"/>
            </w:tcMar>
            <w:shd w:fill="FFFFFF"/>
          </w:tcPr>
          <w:p>
            <w:pPr>
              <w:spacing w:after="40" w:before="40" w:line="245" w:lineRule="auto"/>
            </w:pPr>
            <w:r>
              <w:rPr>
                <w:sz w:val="19"/>
              </w:rPr>
              <w:t>Boundary</w:t>
            </w:r>
          </w:p>
        </w:tc>
        <w:tc>
          <w:tcPr>
            <w:tcW w:type="dxa" w:w="8136"/>
            <w:vAlign w:val="center"/>
            <w:tcMar>
              <w:top w:w="80" w:type="dxa"/>
              <w:left w:w="80" w:type="dxa"/>
              <w:bottom w:w="80" w:type="dxa"/>
              <w:right w:w="80" w:type="dxa"/>
            </w:tcMar>
            <w:shd w:fill="FFFFFF"/>
          </w:tcPr>
          <w:p>
            <w:pPr>
              <w:spacing w:after="40" w:before="40" w:line="245" w:lineRule="auto"/>
            </w:pPr>
            <w:r>
              <w:rPr>
                <w:sz w:val="19"/>
              </w:rPr>
              <w:t>Assume usable energy in [168, 177.6] Wh and sustained load in [22, 26] W. The conservative runtime is 168 / 26 = 6.46 h. These are stipulated bounds, not a measured confidence interval.</w:t>
            </w:r>
          </w:p>
        </w:tc>
      </w:tr>
    </w:tbl>
    <w:p>
      <w:pPr>
        <w:spacing w:after="0"/>
      </w:pPr>
    </w:p>
    <w:p>
      <w:pPr>
        <w:pStyle w:val="Heading2"/>
      </w:pPr>
      <w:r>
        <w:t>Re-observation rule</w:t>
      </w:r>
    </w:p>
    <w:p>
      <w:r>
        <w:t>In the exercise, sample load each simulated minute. Reopen review if sustained load exceeds 26 W, usable energy is below 168 Wh, service priorities change, or the six-hour horizon expires. A real system would also need engineering safety review, transient-load checks, environmental tests, and suitable instrumentation.</w:t>
      </w:r>
    </w:p>
    <w:p>
      <w:pPr>
        <w:pStyle w:val="Heading2"/>
      </w:pPr>
      <w:r>
        <w:t>Independent defense prompts</w:t>
      </w:r>
    </w:p>
    <w:p>
      <w:r>
        <w:t>Why does dividing watt-hours by watts produce hours? Which input is a measurement rather than an assumption? What changes if load varies over time? Why does authorization matter when deciding what to switch off? What evidence would make the revised forecast unsupported?</w:t>
      </w:r>
    </w:p>
    <w:p>
      <w:pPr>
        <w:pStyle w:val="Heading2"/>
      </w:pPr>
      <w:r>
        <w:t>Transfer task</w:t>
      </w:r>
    </w:p>
    <w:p>
      <w:r>
        <w:t>Give a fresh water-storage or computing-quota problem with a changing inflow and a minimum-service rule. The learner must identify the stock-and-flow structure and also explain why the constant-load shortcut may no longer apply. Do not award transfer credit for changing the labels on the same arithmetic.</w:t>
      </w:r>
    </w:p>
    <w:p>
      <w:r>
        <w:br w:type="page"/>
      </w:r>
    </w:p>
    <w:p>
      <w:pPr>
        <w:pStyle w:val="Caption"/>
      </w:pPr>
      <w:r>
        <w:t>10  /  IMPLEMENTATION PLAYBOOK</w:t>
      </w:r>
    </w:p>
    <w:p>
      <w:pPr>
        <w:pStyle w:val="Heading1"/>
      </w:pPr>
      <w:r>
        <w:t>The workbook is the pilot runtime</w:t>
      </w:r>
    </w:p>
    <w:p>
      <w:r>
        <w:t>Start with auditable records and manual review. The workbook is not an access-control system or an immutable ledger.</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Mar>
              <w:top w:w="80" w:type="dxa"/>
              <w:left w:w="80" w:type="dxa"/>
              <w:bottom w:w="80" w:type="dxa"/>
              <w:right w:w="80" w:type="dxa"/>
            </w:tcMar>
            <w:shd w:fill="243B2B"/>
          </w:tcPr>
          <w:p>
            <w:pPr>
              <w:spacing w:after="40" w:before="40" w:line="245" w:lineRule="auto"/>
            </w:pPr>
            <w:r>
              <w:rPr>
                <w:b/>
                <w:color w:val="FFFFFF"/>
                <w:sz w:val="19"/>
              </w:rPr>
              <w:t>Tab</w:t>
            </w:r>
          </w:p>
        </w:tc>
        <w:tc>
          <w:tcPr>
            <w:tcW w:type="dxa" w:w="8064"/>
            <w:vAlign w:val="center"/>
            <w:tcMar>
              <w:top w:w="80" w:type="dxa"/>
              <w:left w:w="80" w:type="dxa"/>
              <w:bottom w:w="80" w:type="dxa"/>
              <w:right w:w="80" w:type="dxa"/>
            </w:tcMar>
            <w:shd w:fill="243B2B"/>
          </w:tcPr>
          <w:p>
            <w:pPr>
              <w:spacing w:after="40" w:before="40" w:line="245" w:lineRule="auto"/>
            </w:pPr>
            <w:r>
              <w:rPr>
                <w:b/>
                <w:color w:val="FFFFFF"/>
                <w:sz w:val="19"/>
              </w:rPr>
              <w:t>Purpose</w:t>
            </w:r>
          </w:p>
        </w:tc>
      </w:tr>
      <w:tr>
        <w:trPr>
          <w:cantSplit/>
        </w:trPr>
        <w:tc>
          <w:tcPr>
            <w:tcW w:type="dxa" w:w="2016"/>
            <w:vAlign w:val="center"/>
            <w:tcMar>
              <w:top w:w="80" w:type="dxa"/>
              <w:left w:w="80" w:type="dxa"/>
              <w:bottom w:w="80" w:type="dxa"/>
              <w:right w:w="80" w:type="dxa"/>
            </w:tcMar>
            <w:shd w:fill="F1F4F0"/>
          </w:tcPr>
          <w:p>
            <w:pPr>
              <w:spacing w:after="40" w:before="40" w:line="245" w:lineRule="auto"/>
            </w:pPr>
            <w:r>
              <w:rPr>
                <w:sz w:val="19"/>
              </w:rPr>
              <w:t>Start / Dashboard</w:t>
            </w:r>
          </w:p>
        </w:tc>
        <w:tc>
          <w:tcPr>
            <w:tcW w:type="dxa" w:w="8064"/>
            <w:vAlign w:val="center"/>
            <w:tcMar>
              <w:top w:w="80" w:type="dxa"/>
              <w:left w:w="80" w:type="dxa"/>
              <w:bottom w:w="80" w:type="dxa"/>
              <w:right w:w="80" w:type="dxa"/>
            </w:tcMar>
            <w:shd w:fill="F1F4F0"/>
          </w:tcPr>
          <w:p>
            <w:pPr>
              <w:spacing w:after="40" w:before="40" w:line="245" w:lineRule="auto"/>
            </w:pPr>
            <w:r>
              <w:rPr>
                <w:sz w:val="19"/>
              </w:rPr>
              <w:t>Read the boundaries and proposed thresholds; view entered live records and descriptive counts. Blank evidence remains pending.</w:t>
            </w:r>
          </w:p>
        </w:tc>
      </w:tr>
      <w:tr>
        <w:trPr>
          <w:cantSplit/>
        </w:trPr>
        <w:tc>
          <w:tcPr>
            <w:tcW w:type="dxa" w:w="2016"/>
            <w:vAlign w:val="center"/>
            <w:tcMar>
              <w:top w:w="80" w:type="dxa"/>
              <w:left w:w="80" w:type="dxa"/>
              <w:bottom w:w="80" w:type="dxa"/>
              <w:right w:w="80" w:type="dxa"/>
            </w:tcMar>
            <w:shd w:fill="FFFFFF"/>
          </w:tcPr>
          <w:p>
            <w:pPr>
              <w:spacing w:after="40" w:before="40" w:line="245" w:lineRule="auto"/>
            </w:pPr>
            <w:r>
              <w:rPr>
                <w:sz w:val="19"/>
              </w:rPr>
              <w:t>Episodes</w:t>
            </w:r>
          </w:p>
        </w:tc>
        <w:tc>
          <w:tcPr>
            <w:tcW w:type="dxa" w:w="8064"/>
            <w:vAlign w:val="center"/>
            <w:tcMar>
              <w:top w:w="80" w:type="dxa"/>
              <w:left w:w="80" w:type="dxa"/>
              <w:bottom w:w="80" w:type="dxa"/>
              <w:right w:w="80" w:type="dxa"/>
            </w:tcMar>
            <w:shd w:fill="FFFFFF"/>
          </w:tcPr>
          <w:p>
            <w:pPr>
              <w:spacing w:after="40" w:before="40" w:line="245" w:lineRule="auto"/>
            </w:pPr>
            <w:r>
              <w:rPr>
                <w:sz w:val="19"/>
              </w:rPr>
              <w:t>Manifest for objective, model/version, scope, resolution, horizon, reliability evidence, re-observation trigger, and artifact pointers.</w:t>
            </w:r>
          </w:p>
        </w:tc>
      </w:tr>
      <w:tr>
        <w:trPr>
          <w:cantSplit/>
        </w:trPr>
        <w:tc>
          <w:tcPr>
            <w:tcW w:type="dxa" w:w="2016"/>
            <w:vAlign w:val="center"/>
            <w:tcMar>
              <w:top w:w="80" w:type="dxa"/>
              <w:left w:w="80" w:type="dxa"/>
              <w:bottom w:w="80" w:type="dxa"/>
              <w:right w:w="80" w:type="dxa"/>
            </w:tcMar>
            <w:shd w:fill="F1F4F0"/>
          </w:tcPr>
          <w:p>
            <w:pPr>
              <w:spacing w:after="40" w:before="40" w:line="245" w:lineRule="auto"/>
            </w:pPr>
            <w:r>
              <w:rPr>
                <w:sz w:val="19"/>
              </w:rPr>
              <w:t>C / E</w:t>
            </w:r>
          </w:p>
        </w:tc>
        <w:tc>
          <w:tcPr>
            <w:tcW w:type="dxa" w:w="8064"/>
            <w:vAlign w:val="center"/>
            <w:tcMar>
              <w:top w:w="80" w:type="dxa"/>
              <w:left w:w="80" w:type="dxa"/>
              <w:bottom w:w="80" w:type="dxa"/>
              <w:right w:w="80" w:type="dxa"/>
            </w:tcMar>
            <w:shd w:fill="F1F4F0"/>
          </w:tcPr>
          <w:p>
            <w:pPr>
              <w:spacing w:after="40" w:before="40" w:line="245" w:lineRule="auto"/>
            </w:pPr>
            <w:r>
              <w:rPr>
                <w:sz w:val="19"/>
              </w:rPr>
              <w:t>Claims with epistemic basis; timestamped observations with method, units, uncertainty, and evidence.</w:t>
            </w:r>
          </w:p>
        </w:tc>
      </w:tr>
      <w:tr>
        <w:trPr>
          <w:cantSplit/>
        </w:trPr>
        <w:tc>
          <w:tcPr>
            <w:tcW w:type="dxa" w:w="2016"/>
            <w:vAlign w:val="center"/>
            <w:tcMar>
              <w:top w:w="80" w:type="dxa"/>
              <w:left w:w="80" w:type="dxa"/>
              <w:bottom w:w="80" w:type="dxa"/>
              <w:right w:w="80" w:type="dxa"/>
            </w:tcMar>
            <w:shd w:fill="FFFFFF"/>
          </w:tcPr>
          <w:p>
            <w:pPr>
              <w:spacing w:after="40" w:before="40" w:line="245" w:lineRule="auto"/>
            </w:pPr>
            <w:r>
              <w:rPr>
                <w:sz w:val="19"/>
              </w:rPr>
              <w:t>R / P / A</w:t>
            </w:r>
          </w:p>
        </w:tc>
        <w:tc>
          <w:tcPr>
            <w:tcW w:type="dxa" w:w="8064"/>
            <w:vAlign w:val="center"/>
            <w:tcMar>
              <w:top w:w="80" w:type="dxa"/>
              <w:left w:w="80" w:type="dxa"/>
              <w:bottom w:w="80" w:type="dxa"/>
              <w:right w:w="80" w:type="dxa"/>
            </w:tcMar>
            <w:shd w:fill="FFFFFF"/>
          </w:tcPr>
          <w:p>
            <w:pPr>
              <w:spacing w:after="40" w:before="40" w:line="245" w:lineRule="auto"/>
            </w:pPr>
            <w:r>
              <w:rPr>
                <w:sz w:val="19"/>
              </w:rPr>
              <w:t>Review decision; proposed change and approval; application and verification with rollback references.</w:t>
            </w:r>
          </w:p>
        </w:tc>
      </w:tr>
      <w:tr>
        <w:trPr>
          <w:cantSplit/>
        </w:trPr>
        <w:tc>
          <w:tcPr>
            <w:tcW w:type="dxa" w:w="2016"/>
            <w:vAlign w:val="center"/>
            <w:tcMar>
              <w:top w:w="80" w:type="dxa"/>
              <w:left w:w="80" w:type="dxa"/>
              <w:bottom w:w="80" w:type="dxa"/>
              <w:right w:w="80" w:type="dxa"/>
            </w:tcMar>
            <w:shd w:fill="F1F4F0"/>
          </w:tcPr>
          <w:p>
            <w:pPr>
              <w:spacing w:after="40" w:before="40" w:line="245" w:lineRule="auto"/>
            </w:pPr>
            <w:r>
              <w:rPr>
                <w:sz w:val="19"/>
              </w:rPr>
              <w:t>Assessment</w:t>
            </w:r>
          </w:p>
        </w:tc>
        <w:tc>
          <w:tcPr>
            <w:tcW w:type="dxa" w:w="8064"/>
            <w:vAlign w:val="center"/>
            <w:tcMar>
              <w:top w:w="80" w:type="dxa"/>
              <w:left w:w="80" w:type="dxa"/>
              <w:bottom w:w="80" w:type="dxa"/>
              <w:right w:w="80" w:type="dxa"/>
            </w:tcMar>
            <w:shd w:fill="F1F4F0"/>
          </w:tcPr>
          <w:p>
            <w:pPr>
              <w:spacing w:after="40" w:before="40" w:line="245" w:lineRule="auto"/>
            </w:pPr>
            <w:r>
              <w:rPr>
                <w:sz w:val="19"/>
              </w:rPr>
              <w:t>Raw rater and separate adjudicated dimension scores; learner, group, mode, occasion, task form, and artifact references.</w:t>
            </w:r>
          </w:p>
        </w:tc>
      </w:tr>
      <w:tr>
        <w:trPr>
          <w:cantSplit/>
        </w:trPr>
        <w:tc>
          <w:tcPr>
            <w:tcW w:type="dxa" w:w="2016"/>
            <w:vAlign w:val="center"/>
            <w:tcMar>
              <w:top w:w="80" w:type="dxa"/>
              <w:left w:w="80" w:type="dxa"/>
              <w:bottom w:w="80" w:type="dxa"/>
              <w:right w:w="80" w:type="dxa"/>
            </w:tcMar>
            <w:shd w:fill="FFFFFF"/>
          </w:tcPr>
          <w:p>
            <w:pPr>
              <w:spacing w:after="40" w:before="40" w:line="245" w:lineRule="auto"/>
            </w:pPr>
            <w:r>
              <w:rPr>
                <w:sz w:val="19"/>
              </w:rPr>
              <w:t>Outcomes</w:t>
            </w:r>
          </w:p>
        </w:tc>
        <w:tc>
          <w:tcPr>
            <w:tcW w:type="dxa" w:w="8064"/>
            <w:vAlign w:val="center"/>
            <w:tcMar>
              <w:top w:w="80" w:type="dxa"/>
              <w:left w:w="80" w:type="dxa"/>
              <w:bottom w:w="80" w:type="dxa"/>
              <w:right w:w="80" w:type="dxa"/>
            </w:tcMar>
            <w:shd w:fill="FFFFFF"/>
          </w:tcPr>
          <w:p>
            <w:pPr>
              <w:spacing w:after="40" w:before="40" w:line="245" w:lineRule="auto"/>
            </w:pPr>
            <w:r>
              <w:rPr>
                <w:sz w:val="19"/>
              </w:rPr>
              <w:t>Enter one anonymous learner ID and assigned group per row. Baseline, post, delay, and paired change are calculated from unique adjudicated records.</w:t>
            </w:r>
          </w:p>
        </w:tc>
      </w:tr>
      <w:tr>
        <w:trPr>
          <w:cantSplit/>
        </w:trPr>
        <w:tc>
          <w:tcPr>
            <w:tcW w:type="dxa" w:w="2016"/>
            <w:vAlign w:val="center"/>
            <w:tcMar>
              <w:top w:w="80" w:type="dxa"/>
              <w:left w:w="80" w:type="dxa"/>
              <w:bottom w:w="80" w:type="dxa"/>
              <w:right w:w="80" w:type="dxa"/>
            </w:tcMar>
            <w:shd w:fill="F1F4F0"/>
          </w:tcPr>
          <w:p>
            <w:pPr>
              <w:spacing w:after="40" w:before="40" w:line="245" w:lineRule="auto"/>
            </w:pPr>
            <w:r>
              <w:rPr>
                <w:sz w:val="19"/>
              </w:rPr>
              <w:t>Memory</w:t>
            </w:r>
          </w:p>
        </w:tc>
        <w:tc>
          <w:tcPr>
            <w:tcW w:type="dxa" w:w="8064"/>
            <w:vAlign w:val="center"/>
            <w:tcMar>
              <w:top w:w="80" w:type="dxa"/>
              <w:left w:w="80" w:type="dxa"/>
              <w:bottom w:w="80" w:type="dxa"/>
              <w:right w:w="80" w:type="dxa"/>
            </w:tcMar>
            <w:shd w:fill="F1F4F0"/>
          </w:tcPr>
          <w:p>
            <w:pPr>
              <w:spacing w:after="40" w:before="40" w:line="245" w:lineRule="auto"/>
            </w:pPr>
            <w:r>
              <w:rPr>
                <w:sz w:val="19"/>
              </w:rPr>
              <w:t>What changed, what remained unsupported, what transfers, what must not be generalized, and who approved the lesson.</w:t>
            </w:r>
          </w:p>
        </w:tc>
      </w:tr>
      <w:tr>
        <w:trPr>
          <w:cantSplit/>
        </w:trPr>
        <w:tc>
          <w:tcPr>
            <w:tcW w:type="dxa" w:w="2016"/>
            <w:vAlign w:val="center"/>
            <w:tcMar>
              <w:top w:w="80" w:type="dxa"/>
              <w:left w:w="80" w:type="dxa"/>
              <w:bottom w:w="80" w:type="dxa"/>
              <w:right w:w="80" w:type="dxa"/>
            </w:tcMar>
            <w:shd w:fill="FFFFFF"/>
          </w:tcPr>
          <w:p>
            <w:pPr>
              <w:spacing w:after="40" w:before="40" w:line="245" w:lineRule="auto"/>
            </w:pPr>
            <w:r>
              <w:rPr>
                <w:sz w:val="19"/>
              </w:rPr>
              <w:t>Pilot</w:t>
            </w:r>
          </w:p>
        </w:tc>
        <w:tc>
          <w:tcPr>
            <w:tcW w:type="dxa" w:w="8064"/>
            <w:vAlign w:val="center"/>
            <w:tcMar>
              <w:top w:w="80" w:type="dxa"/>
              <w:left w:w="80" w:type="dxa"/>
              <w:bottom w:w="80" w:type="dxa"/>
              <w:right w:w="80" w:type="dxa"/>
            </w:tcMar>
            <w:shd w:fill="FFFFFF"/>
          </w:tcPr>
          <w:p>
            <w:pPr>
              <w:spacing w:after="40" w:before="40" w:line="245" w:lineRule="auto"/>
            </w:pPr>
            <w:r>
              <w:rPr>
                <w:sz w:val="19"/>
              </w:rPr>
              <w:t>Preparation and decision gates with owners, evidence requirements, status, and sign-off fields.</w:t>
            </w:r>
          </w:p>
        </w:tc>
      </w:tr>
      <w:tr>
        <w:trPr>
          <w:cantSplit/>
        </w:trPr>
        <w:tc>
          <w:tcPr>
            <w:tcW w:type="dxa" w:w="2016"/>
            <w:vAlign w:val="center"/>
            <w:tcMar>
              <w:top w:w="80" w:type="dxa"/>
              <w:left w:w="80" w:type="dxa"/>
              <w:bottom w:w="80" w:type="dxa"/>
              <w:right w:w="80" w:type="dxa"/>
            </w:tcMar>
            <w:shd w:fill="F1F4F0"/>
          </w:tcPr>
          <w:p>
            <w:pPr>
              <w:spacing w:after="40" w:before="40" w:line="245" w:lineRule="auto"/>
            </w:pPr>
            <w:r>
              <w:rPr>
                <w:sz w:val="19"/>
              </w:rPr>
              <w:t>Demo / Sources</w:t>
            </w:r>
          </w:p>
        </w:tc>
        <w:tc>
          <w:tcPr>
            <w:tcW w:type="dxa" w:w="8064"/>
            <w:vAlign w:val="center"/>
            <w:tcMar>
              <w:top w:w="80" w:type="dxa"/>
              <w:left w:w="80" w:type="dxa"/>
              <w:bottom w:w="80" w:type="dxa"/>
              <w:right w:w="80" w:type="dxa"/>
            </w:tcMar>
            <w:shd w:fill="F1F4F0"/>
          </w:tcPr>
          <w:p>
            <w:pPr>
              <w:spacing w:after="40" w:before="40" w:line="245" w:lineRule="auto"/>
            </w:pPr>
            <w:r>
              <w:rPr>
                <w:sz w:val="19"/>
              </w:rPr>
              <w:t>Formula-driven synthetic example; research sources and the boundary of each supported claim.</w:t>
            </w:r>
          </w:p>
        </w:tc>
      </w:tr>
    </w:tbl>
    <w:p>
      <w:pPr>
        <w:spacing w:after="0"/>
      </w:pPr>
    </w:p>
    <w:p>
      <w:pPr>
        <w:pStyle w:val="Heading2"/>
      </w:pPr>
      <w:r>
        <w:t>Record contract</w:t>
      </w:r>
    </w:p>
    <w:p>
      <w:r>
        <w:t>Use stable IDs and exact version references. Link every observation to its episode and claim version; every review to evidence; every patch to a review; every application to its approved patch. An approved but unapplied patch is not an outcome. Keep UTC timestamps or an explicit timezone and declare units.</w:t>
      </w:r>
    </w:p>
    <w:p>
      <w:pPr>
        <w:pStyle w:val="Heading2"/>
      </w:pPr>
      <w:r>
        <w:t>Evidence boundaries and retention</w:t>
      </w:r>
    </w:p>
    <w:p>
      <w:r>
        <w:t>Mark records LIVE, SYNTHETIC, or TEST. Only LIVE adjudicated independent records feed live learning summaries. Store identity keys separately from the workbook. Use permitted relative file paths or approved institutional references; confirm the reviewer can actually open the source.</w:t>
      </w:r>
    </w:p>
    <w:p>
      <w:pPr>
        <w:pStyle w:val="Heading2"/>
      </w:pPr>
      <w:r>
        <w:t>What remains manual</w:t>
      </w:r>
    </w:p>
    <w:p>
      <w:r>
        <w:t>Permissions, identity separation, consent or authorization, evidence truth, workflow approval, backups, retention, and most cross-reference checks require institutional process. Formula checks catch selected omissions or duplicate outcome records; they do not prove correctness, security, or regulatory compliance.</w:t>
      </w:r>
    </w:p>
    <w:p>
      <w:r>
        <w:br w:type="page"/>
      </w:r>
    </w:p>
    <w:p>
      <w:pPr>
        <w:pStyle w:val="Caption"/>
      </w:pPr>
      <w:r>
        <w:t>11  /  IMPLEMENTATION PLAYBOOK</w:t>
      </w:r>
    </w:p>
    <w:p>
      <w:pPr>
        <w:pStyle w:val="Heading1"/>
      </w:pPr>
      <w:r>
        <w:t>Deep Sigma integration map</w:t>
      </w:r>
    </w:p>
    <w:p>
      <w:r>
        <w:t>These are proposed educational uses of the architecture discussed in this project, not claims of implemented integrations.</w:t>
      </w:r>
    </w:p>
    <w:tbl>
      <w:tblPr>
        <w:tblW w:type="auto" w:w="0"/>
        <w:jc w:val="center"/>
        <w:tblLayout w:type="fixed"/>
        <w:tblLook w:firstColumn="1" w:firstRow="1" w:lastColumn="0" w:lastRow="0" w:noHBand="0" w:noVBand="1" w:val="04A0"/>
      </w:tblPr>
      <w:tblGrid>
        <w:gridCol w:w="1800"/>
        <w:gridCol w:w="1944"/>
        <w:gridCol w:w="6336"/>
      </w:tblGrid>
      <w:tr>
        <w:trPr>
          <w:cantSplit/>
          <w:tblHeader/>
        </w:trPr>
        <w:tc>
          <w:tcPr>
            <w:tcW w:type="dxa" w:w="1800"/>
            <w:vAlign w:val="center"/>
            <w:tcMar>
              <w:top w:w="80" w:type="dxa"/>
              <w:left w:w="80" w:type="dxa"/>
              <w:bottom w:w="80" w:type="dxa"/>
              <w:right w:w="80" w:type="dxa"/>
            </w:tcMar>
            <w:shd w:fill="243B2B"/>
          </w:tcPr>
          <w:p>
            <w:pPr>
              <w:spacing w:after="40" w:before="40" w:line="245" w:lineRule="auto"/>
            </w:pPr>
            <w:r>
              <w:rPr>
                <w:b/>
                <w:color w:val="FFFFFF"/>
                <w:sz w:val="19"/>
              </w:rPr>
              <w:t>Layer</w:t>
            </w:r>
          </w:p>
        </w:tc>
        <w:tc>
          <w:tcPr>
            <w:tcW w:type="dxa" w:w="1944"/>
            <w:vAlign w:val="center"/>
            <w:tcMar>
              <w:top w:w="80" w:type="dxa"/>
              <w:left w:w="80" w:type="dxa"/>
              <w:bottom w:w="80" w:type="dxa"/>
              <w:right w:w="80" w:type="dxa"/>
            </w:tcMar>
            <w:shd w:fill="243B2B"/>
          </w:tcPr>
          <w:p>
            <w:pPr>
              <w:spacing w:after="40" w:before="40" w:line="245" w:lineRule="auto"/>
            </w:pPr>
            <w:r>
              <w:rPr>
                <w:b/>
                <w:color w:val="FFFFFF"/>
                <w:sz w:val="19"/>
              </w:rPr>
              <w:t>Component</w:t>
            </w:r>
          </w:p>
        </w:tc>
        <w:tc>
          <w:tcPr>
            <w:tcW w:type="dxa" w:w="6336"/>
            <w:vAlign w:val="center"/>
            <w:tcMar>
              <w:top w:w="80" w:type="dxa"/>
              <w:left w:w="80" w:type="dxa"/>
              <w:bottom w:w="80" w:type="dxa"/>
              <w:right w:w="80" w:type="dxa"/>
            </w:tcMar>
            <w:shd w:fill="243B2B"/>
          </w:tcPr>
          <w:p>
            <w:pPr>
              <w:spacing w:after="40" w:before="40" w:line="245" w:lineRule="auto"/>
            </w:pPr>
            <w:r>
              <w:rPr>
                <w:b/>
                <w:color w:val="FFFFFF"/>
                <w:sz w:val="19"/>
              </w:rPr>
              <w:t>Proposed feature / acceptance test</w:t>
            </w:r>
          </w:p>
        </w:tc>
      </w:tr>
      <w:tr>
        <w:trPr>
          <w:cantSplit/>
        </w:trPr>
        <w:tc>
          <w:tcPr>
            <w:tcW w:type="dxa" w:w="1800"/>
            <w:vAlign w:val="center"/>
            <w:tcMar>
              <w:top w:w="80" w:type="dxa"/>
              <w:left w:w="80" w:type="dxa"/>
              <w:bottom w:w="80" w:type="dxa"/>
              <w:right w:w="80" w:type="dxa"/>
            </w:tcMar>
            <w:shd w:fill="F1F4F0"/>
          </w:tcPr>
          <w:p>
            <w:pPr>
              <w:spacing w:after="40" w:before="40" w:line="245" w:lineRule="auto"/>
            </w:pPr>
            <w:r>
              <w:rPr>
                <w:sz w:val="19"/>
              </w:rPr>
              <w:t>Authoring</w:t>
            </w:r>
          </w:p>
        </w:tc>
        <w:tc>
          <w:tcPr>
            <w:tcW w:type="dxa" w:w="1944"/>
            <w:vAlign w:val="center"/>
            <w:tcMar>
              <w:top w:w="80" w:type="dxa"/>
              <w:left w:w="80" w:type="dxa"/>
              <w:bottom w:w="80" w:type="dxa"/>
              <w:right w:w="80" w:type="dxa"/>
            </w:tcMar>
            <w:shd w:fill="F1F4F0"/>
          </w:tcPr>
          <w:p>
            <w:pPr>
              <w:spacing w:after="40" w:before="40" w:line="245" w:lineRule="auto"/>
            </w:pPr>
            <w:r>
              <w:rPr>
                <w:sz w:val="19"/>
              </w:rPr>
              <w:t>Composer</w:t>
            </w:r>
          </w:p>
        </w:tc>
        <w:tc>
          <w:tcPr>
            <w:tcW w:type="dxa" w:w="6336"/>
            <w:vAlign w:val="center"/>
            <w:tcMar>
              <w:top w:w="80" w:type="dxa"/>
              <w:left w:w="80" w:type="dxa"/>
              <w:bottom w:w="80" w:type="dxa"/>
              <w:right w:w="80" w:type="dxa"/>
            </w:tcMar>
            <w:shd w:fill="F1F4F0"/>
          </w:tcPr>
          <w:p>
            <w:pPr>
              <w:spacing w:after="40" w:before="40" w:line="245" w:lineRule="auto"/>
            </w:pPr>
            <w:r>
              <w:rPr>
                <w:sz w:val="19"/>
              </w:rPr>
              <w:t>Version claims and models. Test that a changed claim creates a new version and cannot silently retain old approval.</w:t>
            </w:r>
          </w:p>
        </w:tc>
      </w:tr>
      <w:tr>
        <w:trPr>
          <w:cantSplit/>
        </w:trPr>
        <w:tc>
          <w:tcPr>
            <w:tcW w:type="dxa" w:w="1800"/>
            <w:vAlign w:val="center"/>
            <w:tcMar>
              <w:top w:w="80" w:type="dxa"/>
              <w:left w:w="80" w:type="dxa"/>
              <w:bottom w:w="80" w:type="dxa"/>
              <w:right w:w="80" w:type="dxa"/>
            </w:tcMar>
            <w:shd w:fill="FFFFFF"/>
          </w:tcPr>
          <w:p>
            <w:pPr>
              <w:spacing w:after="40" w:before="40" w:line="245" w:lineRule="auto"/>
            </w:pPr>
            <w:r>
              <w:rPr>
                <w:sz w:val="19"/>
              </w:rPr>
              <w:t>Constraint review</w:t>
            </w:r>
          </w:p>
        </w:tc>
        <w:tc>
          <w:tcPr>
            <w:tcW w:type="dxa" w:w="1944"/>
            <w:vAlign w:val="center"/>
            <w:tcMar>
              <w:top w:w="80" w:type="dxa"/>
              <w:left w:w="80" w:type="dxa"/>
              <w:bottom w:w="80" w:type="dxa"/>
              <w:right w:w="80" w:type="dxa"/>
            </w:tcMar>
            <w:shd w:fill="FFFFFF"/>
          </w:tcPr>
          <w:p>
            <w:pPr>
              <w:spacing w:after="40" w:before="40" w:line="245" w:lineRule="auto"/>
            </w:pPr>
            <w:r>
              <w:rPr>
                <w:sz w:val="19"/>
              </w:rPr>
              <w:t>Resonator</w:t>
            </w:r>
          </w:p>
        </w:tc>
        <w:tc>
          <w:tcPr>
            <w:tcW w:type="dxa" w:w="6336"/>
            <w:vAlign w:val="center"/>
            <w:tcMar>
              <w:top w:w="80" w:type="dxa"/>
              <w:left w:w="80" w:type="dxa"/>
              <w:bottom w:w="80" w:type="dxa"/>
              <w:right w:w="80" w:type="dxa"/>
            </w:tcMar>
            <w:shd w:fill="FFFFFF"/>
          </w:tcPr>
          <w:p>
            <w:pPr>
              <w:spacing w:after="40" w:before="40" w:line="245" w:lineRule="auto"/>
            </w:pPr>
            <w:r>
              <w:rPr>
                <w:sz w:val="19"/>
              </w:rPr>
              <w:t>Check required fields, units, authority, evidence bindings, and forecast boundaries. Test rejection of a missing approval or mismatched version.</w:t>
            </w:r>
          </w:p>
        </w:tc>
      </w:tr>
      <w:tr>
        <w:trPr>
          <w:cantSplit/>
        </w:trPr>
        <w:tc>
          <w:tcPr>
            <w:tcW w:type="dxa" w:w="1800"/>
            <w:vAlign w:val="center"/>
            <w:tcMar>
              <w:top w:w="80" w:type="dxa"/>
              <w:left w:w="80" w:type="dxa"/>
              <w:bottom w:w="80" w:type="dxa"/>
              <w:right w:w="80" w:type="dxa"/>
            </w:tcMar>
            <w:shd w:fill="F1F4F0"/>
          </w:tcPr>
          <w:p>
            <w:pPr>
              <w:spacing w:after="40" w:before="40" w:line="245" w:lineRule="auto"/>
            </w:pPr>
            <w:r>
              <w:rPr>
                <w:sz w:val="19"/>
              </w:rPr>
              <w:t>Navigation</w:t>
            </w:r>
          </w:p>
        </w:tc>
        <w:tc>
          <w:tcPr>
            <w:tcW w:type="dxa" w:w="1944"/>
            <w:vAlign w:val="center"/>
            <w:tcMar>
              <w:top w:w="80" w:type="dxa"/>
              <w:left w:w="80" w:type="dxa"/>
              <w:bottom w:w="80" w:type="dxa"/>
              <w:right w:w="80" w:type="dxa"/>
            </w:tcMar>
            <w:shd w:fill="F1F4F0"/>
          </w:tcPr>
          <w:p>
            <w:pPr>
              <w:spacing w:after="40" w:before="40" w:line="245" w:lineRule="auto"/>
            </w:pPr>
            <w:r>
              <w:rPr>
                <w:sz w:val="19"/>
              </w:rPr>
              <w:t>Pathfinder</w:t>
            </w:r>
          </w:p>
        </w:tc>
        <w:tc>
          <w:tcPr>
            <w:tcW w:type="dxa" w:w="6336"/>
            <w:vAlign w:val="center"/>
            <w:tcMar>
              <w:top w:w="80" w:type="dxa"/>
              <w:left w:w="80" w:type="dxa"/>
              <w:bottom w:w="80" w:type="dxa"/>
              <w:right w:w="80" w:type="dxa"/>
            </w:tcMar>
            <w:shd w:fill="F1F4F0"/>
          </w:tcPr>
          <w:p>
            <w:pPr>
              <w:spacing w:after="40" w:before="40" w:line="245" w:lineRule="auto"/>
            </w:pPr>
            <w:r>
              <w:rPr>
                <w:sz w:val="19"/>
              </w:rPr>
              <w:t>Trace claim → evidence → review → patch → application. Test navigation to an exact historical version, including unsupported links.</w:t>
            </w:r>
          </w:p>
        </w:tc>
      </w:tr>
      <w:tr>
        <w:trPr>
          <w:cantSplit/>
        </w:trPr>
        <w:tc>
          <w:tcPr>
            <w:tcW w:type="dxa" w:w="1800"/>
            <w:vAlign w:val="center"/>
            <w:tcMar>
              <w:top w:w="80" w:type="dxa"/>
              <w:left w:w="80" w:type="dxa"/>
              <w:bottom w:w="80" w:type="dxa"/>
              <w:right w:w="80" w:type="dxa"/>
            </w:tcMar>
            <w:shd w:fill="FFFFFF"/>
          </w:tcPr>
          <w:p>
            <w:pPr>
              <w:spacing w:after="40" w:before="40" w:line="245" w:lineRule="auto"/>
            </w:pPr>
            <w:r>
              <w:rPr>
                <w:sz w:val="19"/>
              </w:rPr>
              <w:t>State and prediction</w:t>
            </w:r>
          </w:p>
        </w:tc>
        <w:tc>
          <w:tcPr>
            <w:tcW w:type="dxa" w:w="1944"/>
            <w:vAlign w:val="center"/>
            <w:tcMar>
              <w:top w:w="80" w:type="dxa"/>
              <w:left w:w="80" w:type="dxa"/>
              <w:bottom w:w="80" w:type="dxa"/>
              <w:right w:w="80" w:type="dxa"/>
            </w:tcMar>
            <w:shd w:fill="FFFFFF"/>
          </w:tcPr>
          <w:p>
            <w:pPr>
              <w:spacing w:after="40" w:before="40" w:line="245" w:lineRule="auto"/>
            </w:pPr>
            <w:r>
              <w:rPr>
                <w:sz w:val="19"/>
              </w:rPr>
              <w:t>pyWORLD</w:t>
            </w:r>
          </w:p>
        </w:tc>
        <w:tc>
          <w:tcPr>
            <w:tcW w:type="dxa" w:w="6336"/>
            <w:vAlign w:val="center"/>
            <w:tcMar>
              <w:top w:w="80" w:type="dxa"/>
              <w:left w:w="80" w:type="dxa"/>
              <w:bottom w:w="80" w:type="dxa"/>
              <w:right w:w="80" w:type="dxa"/>
            </w:tcMar>
            <w:shd w:fill="FFFFFF"/>
          </w:tcPr>
          <w:p>
            <w:pPr>
              <w:spacing w:after="40" w:before="40" w:line="245" w:lineRule="auto"/>
            </w:pPr>
            <w:r>
              <w:rPr>
                <w:sz w:val="19"/>
              </w:rPr>
              <w:t>Represent intended, observed, model, intervention, outcome, and prediction boundary. Test that missing observations remain unknown.</w:t>
            </w:r>
          </w:p>
        </w:tc>
      </w:tr>
      <w:tr>
        <w:trPr>
          <w:cantSplit/>
        </w:trPr>
        <w:tc>
          <w:tcPr>
            <w:tcW w:type="dxa" w:w="1800"/>
            <w:vAlign w:val="center"/>
            <w:tcMar>
              <w:top w:w="80" w:type="dxa"/>
              <w:left w:w="80" w:type="dxa"/>
              <w:bottom w:w="80" w:type="dxa"/>
              <w:right w:w="80" w:type="dxa"/>
            </w:tcMar>
            <w:shd w:fill="F1F4F0"/>
          </w:tcPr>
          <w:p>
            <w:pPr>
              <w:spacing w:after="40" w:before="40" w:line="245" w:lineRule="auto"/>
            </w:pPr>
            <w:r>
              <w:rPr>
                <w:sz w:val="19"/>
              </w:rPr>
              <w:t>Epistemic controls</w:t>
            </w:r>
          </w:p>
        </w:tc>
        <w:tc>
          <w:tcPr>
            <w:tcW w:type="dxa" w:w="1944"/>
            <w:vAlign w:val="center"/>
            <w:tcMar>
              <w:top w:w="80" w:type="dxa"/>
              <w:left w:w="80" w:type="dxa"/>
              <w:bottom w:w="80" w:type="dxa"/>
              <w:right w:w="80" w:type="dxa"/>
            </w:tcMar>
            <w:shd w:fill="F1F4F0"/>
          </w:tcPr>
          <w:p>
            <w:pPr>
              <w:spacing w:after="40" w:before="40" w:line="245" w:lineRule="auto"/>
            </w:pPr>
            <w:r>
              <w:rPr>
                <w:sz w:val="19"/>
              </w:rPr>
              <w:t>pyEpistemics</w:t>
            </w:r>
          </w:p>
        </w:tc>
        <w:tc>
          <w:tcPr>
            <w:tcW w:type="dxa" w:w="6336"/>
            <w:vAlign w:val="center"/>
            <w:tcMar>
              <w:top w:w="80" w:type="dxa"/>
              <w:left w:w="80" w:type="dxa"/>
              <w:bottom w:w="80" w:type="dxa"/>
              <w:right w:w="80" w:type="dxa"/>
            </w:tcMar>
            <w:shd w:fill="F1F4F0"/>
          </w:tcPr>
          <w:p>
            <w:pPr>
              <w:spacing w:after="40" w:before="40" w:line="245" w:lineRule="auto"/>
            </w:pPr>
            <w:r>
              <w:rPr>
                <w:sz w:val="19"/>
              </w:rPr>
              <w:t>Bind support to exact claims and distinguish proof, evidence, assumptions, and uncertainty. Test a changed claim against an old receipt.</w:t>
            </w:r>
          </w:p>
        </w:tc>
      </w:tr>
      <w:tr>
        <w:trPr>
          <w:cantSplit/>
        </w:trPr>
        <w:tc>
          <w:tcPr>
            <w:tcW w:type="dxa" w:w="1800"/>
            <w:vAlign w:val="center"/>
            <w:tcMar>
              <w:top w:w="80" w:type="dxa"/>
              <w:left w:w="80" w:type="dxa"/>
              <w:bottom w:w="80" w:type="dxa"/>
              <w:right w:w="80" w:type="dxa"/>
            </w:tcMar>
            <w:shd w:fill="FFFFFF"/>
          </w:tcPr>
          <w:p>
            <w:pPr>
              <w:spacing w:after="40" w:before="40" w:line="245" w:lineRule="auto"/>
            </w:pPr>
            <w:r>
              <w:rPr>
                <w:sz w:val="19"/>
              </w:rPr>
              <w:t>Cross-domain reuse</w:t>
            </w:r>
          </w:p>
        </w:tc>
        <w:tc>
          <w:tcPr>
            <w:tcW w:type="dxa" w:w="1944"/>
            <w:vAlign w:val="center"/>
            <w:tcMar>
              <w:top w:w="80" w:type="dxa"/>
              <w:left w:w="80" w:type="dxa"/>
              <w:bottom w:w="80" w:type="dxa"/>
              <w:right w:w="80" w:type="dxa"/>
            </w:tcMar>
            <w:shd w:fill="FFFFFF"/>
          </w:tcPr>
          <w:p>
            <w:pPr>
              <w:spacing w:after="40" w:before="40" w:line="245" w:lineRule="auto"/>
            </w:pPr>
            <w:r>
              <w:rPr>
                <w:sz w:val="19"/>
              </w:rPr>
              <w:t>pyPOLY</w:t>
            </w:r>
          </w:p>
        </w:tc>
        <w:tc>
          <w:tcPr>
            <w:tcW w:type="dxa" w:w="6336"/>
            <w:vAlign w:val="center"/>
            <w:tcMar>
              <w:top w:w="80" w:type="dxa"/>
              <w:left w:w="80" w:type="dxa"/>
              <w:bottom w:w="80" w:type="dxa"/>
              <w:right w:w="80" w:type="dxa"/>
            </w:tcMar>
            <w:shd w:fill="FFFFFF"/>
          </w:tcPr>
          <w:p>
            <w:pPr>
              <w:spacing w:after="40" w:before="40" w:line="245" w:lineRule="auto"/>
            </w:pPr>
            <w:r>
              <w:rPr>
                <w:sz w:val="19"/>
              </w:rPr>
              <w:t>Propose structural mappings and non-transfer conditions. Test rejection of an analogy that preserves labels but violates the governing relation.</w:t>
            </w:r>
          </w:p>
        </w:tc>
      </w:tr>
      <w:tr>
        <w:trPr>
          <w:cantSplit/>
        </w:trPr>
        <w:tc>
          <w:tcPr>
            <w:tcW w:type="dxa" w:w="1800"/>
            <w:vAlign w:val="center"/>
            <w:tcMar>
              <w:top w:w="80" w:type="dxa"/>
              <w:left w:w="80" w:type="dxa"/>
              <w:bottom w:w="80" w:type="dxa"/>
              <w:right w:w="80" w:type="dxa"/>
            </w:tcMar>
            <w:shd w:fill="F1F4F0"/>
          </w:tcPr>
          <w:p>
            <w:pPr>
              <w:spacing w:after="40" w:before="40" w:line="245" w:lineRule="auto"/>
            </w:pPr>
            <w:r>
              <w:rPr>
                <w:sz w:val="19"/>
              </w:rPr>
              <w:t>Governed memory</w:t>
            </w:r>
          </w:p>
        </w:tc>
        <w:tc>
          <w:tcPr>
            <w:tcW w:type="dxa" w:w="1944"/>
            <w:vAlign w:val="center"/>
            <w:tcMar>
              <w:top w:w="80" w:type="dxa"/>
              <w:left w:w="80" w:type="dxa"/>
              <w:bottom w:w="80" w:type="dxa"/>
              <w:right w:w="80" w:type="dxa"/>
            </w:tcMar>
            <w:shd w:fill="F1F4F0"/>
          </w:tcPr>
          <w:p>
            <w:pPr>
              <w:spacing w:after="40" w:before="40" w:line="245" w:lineRule="auto"/>
            </w:pPr>
            <w:r>
              <w:rPr>
                <w:sz w:val="19"/>
              </w:rPr>
              <w:t>CERPA / Memory</w:t>
            </w:r>
          </w:p>
        </w:tc>
        <w:tc>
          <w:tcPr>
            <w:tcW w:type="dxa" w:w="6336"/>
            <w:vAlign w:val="center"/>
            <w:tcMar>
              <w:top w:w="80" w:type="dxa"/>
              <w:left w:w="80" w:type="dxa"/>
              <w:bottom w:w="80" w:type="dxa"/>
              <w:right w:w="80" w:type="dxa"/>
            </w:tcMar>
            <w:shd w:fill="F1F4F0"/>
          </w:tcPr>
          <w:p>
            <w:pPr>
              <w:spacing w:after="40" w:before="40" w:line="245" w:lineRule="auto"/>
            </w:pPr>
            <w:r>
              <w:rPr>
                <w:sz w:val="19"/>
              </w:rPr>
              <w:t>Preserve accountable revision and bounded lessons. Test replay without overwriting the original error.</w:t>
            </w:r>
          </w:p>
        </w:tc>
      </w:tr>
      <w:tr>
        <w:trPr>
          <w:cantSplit/>
        </w:trPr>
        <w:tc>
          <w:tcPr>
            <w:tcW w:type="dxa" w:w="1800"/>
            <w:vAlign w:val="center"/>
            <w:tcMar>
              <w:top w:w="80" w:type="dxa"/>
              <w:left w:w="80" w:type="dxa"/>
              <w:bottom w:w="80" w:type="dxa"/>
              <w:right w:w="80" w:type="dxa"/>
            </w:tcMar>
            <w:shd w:fill="FFFFFF"/>
          </w:tcPr>
          <w:p>
            <w:pPr>
              <w:spacing w:after="40" w:before="40" w:line="245" w:lineRule="auto"/>
            </w:pPr>
            <w:r>
              <w:rPr>
                <w:sz w:val="19"/>
              </w:rPr>
              <w:t>Ecosystem management</w:t>
            </w:r>
          </w:p>
        </w:tc>
        <w:tc>
          <w:tcPr>
            <w:tcW w:type="dxa" w:w="1944"/>
            <w:vAlign w:val="center"/>
            <w:tcMar>
              <w:top w:w="80" w:type="dxa"/>
              <w:left w:w="80" w:type="dxa"/>
              <w:bottom w:w="80" w:type="dxa"/>
              <w:right w:w="80" w:type="dxa"/>
            </w:tcMar>
            <w:shd w:fill="FFFFFF"/>
          </w:tcPr>
          <w:p>
            <w:pPr>
              <w:spacing w:after="40" w:before="40" w:line="245" w:lineRule="auto"/>
            </w:pPr>
            <w:r>
              <w:rPr>
                <w:sz w:val="19"/>
              </w:rPr>
              <w:t>pyREGISTRY / pyUNIVERSE</w:t>
            </w:r>
          </w:p>
        </w:tc>
        <w:tc>
          <w:tcPr>
            <w:tcW w:type="dxa" w:w="6336"/>
            <w:vAlign w:val="center"/>
            <w:tcMar>
              <w:top w:w="80" w:type="dxa"/>
              <w:left w:w="80" w:type="dxa"/>
              <w:bottom w:w="80" w:type="dxa"/>
              <w:right w:w="80" w:type="dxa"/>
            </w:tcMar>
            <w:shd w:fill="FFFFFF"/>
          </w:tcPr>
          <w:p>
            <w:pPr>
              <w:spacing w:after="40" w:before="40" w:line="245" w:lineRule="auto"/>
            </w:pPr>
            <w:r>
              <w:rPr>
                <w:sz w:val="19"/>
              </w:rPr>
              <w:t>Inventory versions, schemas, dependencies, and capability status. Test export/import and a single coherent integration contract.</w:t>
            </w:r>
          </w:p>
        </w:tc>
      </w:tr>
    </w:tbl>
    <w:p>
      <w:pPr>
        <w:spacing w:after="0"/>
      </w:pPr>
    </w:p>
    <w:p>
      <w:pPr>
        <w:pStyle w:val="Heading2"/>
      </w:pPr>
      <w:r>
        <w:t>Build sequence</w:t>
      </w:r>
    </w:p>
    <w:p>
      <w:r>
        <w:t>Stage 0: run the workbook and file-based evidence bundle manually. Stage 1: validate schemas, IDs, and version bindings with deterministic tests. Stage 2: add a local read-only review surface. Stage 3: add optional approved AI coaching. Stage 4: consider institutional integration only after portability, permissions, retention, and educational value are demonstrated.</w:t>
      </w:r>
    </w:p>
    <w:p>
      <w:pPr>
        <w:pStyle w:val="Heading2"/>
      </w:pPr>
      <w:r>
        <w:t>Do not create another isolated library</w:t>
      </w:r>
    </w:p>
    <w:p>
      <w:r>
        <w:t>Treat Σ FIRST as an application profile and test fixture for the existing ecosystem. Before adding a new package, inventory the actual repository and adapters. No repository was inspected, no runtime was modified, and no integration test was executed while producing this playbook.</w:t>
      </w:r>
    </w:p>
    <w:tbl>
      <w:tblPr>
        <w:tblW w:type="auto" w:w="0"/>
        <w:jc w:val="center"/>
        <w:tblLook w:firstColumn="1" w:firstRow="1" w:lastColumn="0" w:lastRow="0" w:noHBand="0" w:noVBand="1" w:val="04A0"/>
      </w:tblPr>
      <w:tblGrid>
        <w:gridCol w:w="10166"/>
      </w:tblGrid>
      <w:tr>
        <w:tc>
          <w:tcPr>
            <w:tcW w:type="dxa" w:w="10166"/>
            <w:shd w:fill="EDF2ED"/>
          </w:tcPr>
          <w:p>
            <w:r>
              <w:rPr>
                <w:sz w:val="22"/>
              </w:rPr>
            </w:r>
            <w:r>
              <w:rPr>
                <w:b/>
                <w:color w:val="243B2B"/>
                <w:sz w:val="22"/>
              </w:rPr>
              <w:t>Engineering acceptance</w:t>
              <w:br/>
            </w:r>
            <w:r>
              <w:rPr>
                <w:sz w:val="22"/>
              </w:rPr>
              <w:t>Fail closed on missing authority; fail visibly on missing evidence; preserve uncertainty; replay the exact version. A software pass still does not establish that a student has learned.</w:t>
            </w:r>
          </w:p>
        </w:tc>
      </w:tr>
    </w:tbl>
    <w:p>
      <w:pPr>
        <w:spacing w:after="0"/>
      </w:pPr>
    </w:p>
    <w:p>
      <w:r>
        <w:br w:type="page"/>
      </w:r>
    </w:p>
    <w:p>
      <w:pPr>
        <w:pStyle w:val="Caption"/>
      </w:pPr>
      <w:r>
        <w:t>12  /  IMPLEMENTATION PLAYBOOK</w:t>
      </w:r>
    </w:p>
    <w:p>
      <w:pPr>
        <w:pStyle w:val="Heading1"/>
      </w:pPr>
      <w:r>
        <w:t>Protect the learner and the evidence</w:t>
      </w:r>
    </w:p>
    <w:p>
      <w:r>
        <w:t>Default to low-stakes formative use and synthetic problems. Keep inquiry open while making consequential claims accountable.</w:t>
      </w:r>
    </w:p>
    <w:tbl>
      <w:tblPr>
        <w:tblW w:type="auto" w:w="0"/>
        <w:jc w:val="center"/>
        <w:tblLayout w:type="fixed"/>
        <w:tblLook w:firstColumn="1" w:firstRow="1" w:lastColumn="0" w:lastRow="0" w:noHBand="0" w:noVBand="1" w:val="04A0"/>
      </w:tblPr>
      <w:tblGrid>
        <w:gridCol w:w="2376"/>
        <w:gridCol w:w="4032"/>
        <w:gridCol w:w="3672"/>
      </w:tblGrid>
      <w:tr>
        <w:trPr>
          <w:cantSplit/>
          <w:tblHeader/>
        </w:trPr>
        <w:tc>
          <w:tcPr>
            <w:tcW w:type="dxa" w:w="2376"/>
            <w:vAlign w:val="center"/>
            <w:tcMar>
              <w:top w:w="80" w:type="dxa"/>
              <w:left w:w="80" w:type="dxa"/>
              <w:bottom w:w="80" w:type="dxa"/>
              <w:right w:w="80" w:type="dxa"/>
            </w:tcMar>
            <w:shd w:fill="243B2B"/>
          </w:tcPr>
          <w:p>
            <w:pPr>
              <w:spacing w:after="40" w:before="40" w:line="245" w:lineRule="auto"/>
            </w:pPr>
            <w:r>
              <w:rPr>
                <w:b/>
                <w:color w:val="FFFFFF"/>
                <w:sz w:val="19"/>
              </w:rPr>
              <w:t>Failure mode</w:t>
            </w:r>
          </w:p>
        </w:tc>
        <w:tc>
          <w:tcPr>
            <w:tcW w:type="dxa" w:w="4032"/>
            <w:vAlign w:val="center"/>
            <w:tcMar>
              <w:top w:w="80" w:type="dxa"/>
              <w:left w:w="80" w:type="dxa"/>
              <w:bottom w:w="80" w:type="dxa"/>
              <w:right w:w="80" w:type="dxa"/>
            </w:tcMar>
            <w:shd w:fill="243B2B"/>
          </w:tcPr>
          <w:p>
            <w:pPr>
              <w:spacing w:after="40" w:before="40" w:line="245" w:lineRule="auto"/>
            </w:pPr>
            <w:r>
              <w:rPr>
                <w:b/>
                <w:color w:val="FFFFFF"/>
                <w:sz w:val="19"/>
              </w:rPr>
              <w:t>Control</w:t>
            </w:r>
          </w:p>
        </w:tc>
        <w:tc>
          <w:tcPr>
            <w:tcW w:type="dxa" w:w="3672"/>
            <w:vAlign w:val="center"/>
            <w:tcMar>
              <w:top w:w="80" w:type="dxa"/>
              <w:left w:w="80" w:type="dxa"/>
              <w:bottom w:w="80" w:type="dxa"/>
              <w:right w:w="80" w:type="dxa"/>
            </w:tcMar>
            <w:shd w:fill="243B2B"/>
          </w:tcPr>
          <w:p>
            <w:pPr>
              <w:spacing w:after="40" w:before="40" w:line="245" w:lineRule="auto"/>
            </w:pPr>
            <w:r>
              <w:rPr>
                <w:b/>
                <w:color w:val="FFFFFF"/>
                <w:sz w:val="19"/>
              </w:rPr>
              <w:t>Response</w:t>
            </w:r>
          </w:p>
        </w:tc>
      </w:tr>
      <w:tr>
        <w:trPr>
          <w:cantSplit/>
        </w:trPr>
        <w:tc>
          <w:tcPr>
            <w:tcW w:type="dxa" w:w="2376"/>
            <w:vAlign w:val="center"/>
            <w:tcMar>
              <w:top w:w="80" w:type="dxa"/>
              <w:left w:w="80" w:type="dxa"/>
              <w:bottom w:w="80" w:type="dxa"/>
              <w:right w:w="80" w:type="dxa"/>
            </w:tcMar>
            <w:shd w:fill="F1F4F0"/>
          </w:tcPr>
          <w:p>
            <w:pPr>
              <w:spacing w:after="40" w:before="40" w:line="245" w:lineRule="auto"/>
            </w:pPr>
            <w:r>
              <w:rPr>
                <w:sz w:val="19"/>
              </w:rPr>
              <w:t>Polished AI output masks weak understanding</w:t>
            </w:r>
          </w:p>
        </w:tc>
        <w:tc>
          <w:tcPr>
            <w:tcW w:type="dxa" w:w="4032"/>
            <w:vAlign w:val="center"/>
            <w:tcMar>
              <w:top w:w="80" w:type="dxa"/>
              <w:left w:w="80" w:type="dxa"/>
              <w:bottom w:w="80" w:type="dxa"/>
              <w:right w:w="80" w:type="dxa"/>
            </w:tcMar>
            <w:shd w:fill="F1F4F0"/>
          </w:tcPr>
          <w:p>
            <w:pPr>
              <w:spacing w:after="40" w:before="40" w:line="245" w:lineRule="auto"/>
            </w:pPr>
            <w:r>
              <w:rPr>
                <w:sz w:val="19"/>
              </w:rPr>
              <w:t>Independent tasks and targeted defense; separate AI-assisted artifacts.</w:t>
            </w:r>
          </w:p>
        </w:tc>
        <w:tc>
          <w:tcPr>
            <w:tcW w:type="dxa" w:w="3672"/>
            <w:vAlign w:val="center"/>
            <w:tcMar>
              <w:top w:w="80" w:type="dxa"/>
              <w:left w:w="80" w:type="dxa"/>
              <w:bottom w:w="80" w:type="dxa"/>
              <w:right w:w="80" w:type="dxa"/>
            </w:tcMar>
            <w:shd w:fill="F1F4F0"/>
          </w:tcPr>
          <w:p>
            <w:pPr>
              <w:spacing w:after="40" w:before="40" w:line="245" w:lineRule="auto"/>
            </w:pPr>
            <w:r>
              <w:rPr>
                <w:sz w:val="19"/>
              </w:rPr>
              <w:t>Reteach and reassess; do not infer dishonesty from weak performance alone.</w:t>
            </w:r>
          </w:p>
        </w:tc>
      </w:tr>
      <w:tr>
        <w:trPr>
          <w:cantSplit/>
        </w:trPr>
        <w:tc>
          <w:tcPr>
            <w:tcW w:type="dxa" w:w="2376"/>
            <w:vAlign w:val="center"/>
            <w:tcMar>
              <w:top w:w="80" w:type="dxa"/>
              <w:left w:w="80" w:type="dxa"/>
              <w:bottom w:w="80" w:type="dxa"/>
              <w:right w:w="80" w:type="dxa"/>
            </w:tcMar>
            <w:shd w:fill="FFFFFF"/>
          </w:tcPr>
          <w:p>
            <w:pPr>
              <w:spacing w:after="40" w:before="40" w:line="245" w:lineRule="auto"/>
            </w:pPr>
            <w:r>
              <w:rPr>
                <w:sz w:val="19"/>
              </w:rPr>
              <w:t>Logs reward paperwork rather than learning</w:t>
            </w:r>
          </w:p>
        </w:tc>
        <w:tc>
          <w:tcPr>
            <w:tcW w:type="dxa" w:w="4032"/>
            <w:vAlign w:val="center"/>
            <w:tcMar>
              <w:top w:w="80" w:type="dxa"/>
              <w:left w:w="80" w:type="dxa"/>
              <w:bottom w:w="80" w:type="dxa"/>
              <w:right w:w="80" w:type="dxa"/>
            </w:tcMar>
            <w:shd w:fill="FFFFFF"/>
          </w:tcPr>
          <w:p>
            <w:pPr>
              <w:spacing w:after="40" w:before="40" w:line="245" w:lineRule="auto"/>
            </w:pPr>
            <w:r>
              <w:rPr>
                <w:sz w:val="19"/>
              </w:rPr>
              <w:t>Minimal episode fields; record burden; preserve exploration outside the formal claim record.</w:t>
            </w:r>
          </w:p>
        </w:tc>
        <w:tc>
          <w:tcPr>
            <w:tcW w:type="dxa" w:w="3672"/>
            <w:vAlign w:val="center"/>
            <w:tcMar>
              <w:top w:w="80" w:type="dxa"/>
              <w:left w:w="80" w:type="dxa"/>
              <w:bottom w:w="80" w:type="dxa"/>
              <w:right w:w="80" w:type="dxa"/>
            </w:tcMar>
            <w:shd w:fill="FFFFFF"/>
          </w:tcPr>
          <w:p>
            <w:pPr>
              <w:spacing w:after="40" w:before="40" w:line="245" w:lineRule="auto"/>
            </w:pPr>
            <w:r>
              <w:rPr>
                <w:sz w:val="19"/>
              </w:rPr>
              <w:t>Simplify the workflow if it displaces practice or feedback.</w:t>
            </w:r>
          </w:p>
        </w:tc>
      </w:tr>
      <w:tr>
        <w:trPr>
          <w:cantSplit/>
        </w:trPr>
        <w:tc>
          <w:tcPr>
            <w:tcW w:type="dxa" w:w="2376"/>
            <w:vAlign w:val="center"/>
            <w:tcMar>
              <w:top w:w="80" w:type="dxa"/>
              <w:left w:w="80" w:type="dxa"/>
              <w:bottom w:w="80" w:type="dxa"/>
              <w:right w:w="80" w:type="dxa"/>
            </w:tcMar>
            <w:shd w:fill="F1F4F0"/>
          </w:tcPr>
          <w:p>
            <w:pPr>
              <w:spacing w:after="40" w:before="40" w:line="245" w:lineRule="auto"/>
            </w:pPr>
            <w:r>
              <w:rPr>
                <w:sz w:val="19"/>
              </w:rPr>
              <w:t>Assessment bias or accessibility barrier</w:t>
            </w:r>
          </w:p>
        </w:tc>
        <w:tc>
          <w:tcPr>
            <w:tcW w:type="dxa" w:w="4032"/>
            <w:vAlign w:val="center"/>
            <w:tcMar>
              <w:top w:w="80" w:type="dxa"/>
              <w:left w:w="80" w:type="dxa"/>
              <w:bottom w:w="80" w:type="dxa"/>
              <w:right w:w="80" w:type="dxa"/>
            </w:tcMar>
            <w:shd w:fill="F1F4F0"/>
          </w:tcPr>
          <w:p>
            <w:pPr>
              <w:spacing w:after="40" w:before="40" w:line="245" w:lineRule="auto"/>
            </w:pPr>
            <w:r>
              <w:rPr>
                <w:sz w:val="19"/>
              </w:rPr>
              <w:t>Accessible equivalent formats; expert content review; human appeal.</w:t>
            </w:r>
          </w:p>
        </w:tc>
        <w:tc>
          <w:tcPr>
            <w:tcW w:type="dxa" w:w="3672"/>
            <w:vAlign w:val="center"/>
            <w:tcMar>
              <w:top w:w="80" w:type="dxa"/>
              <w:left w:w="80" w:type="dxa"/>
              <w:bottom w:w="80" w:type="dxa"/>
              <w:right w:w="80" w:type="dxa"/>
            </w:tcMar>
            <w:shd w:fill="F1F4F0"/>
          </w:tcPr>
          <w:p>
            <w:pPr>
              <w:spacing w:after="40" w:before="40" w:line="245" w:lineRule="auto"/>
            </w:pPr>
            <w:r>
              <w:rPr>
                <w:sz w:val="19"/>
              </w:rPr>
              <w:t>Repair the task or scoring rule; document comparability limits.</w:t>
            </w:r>
          </w:p>
        </w:tc>
      </w:tr>
      <w:tr>
        <w:trPr>
          <w:cantSplit/>
        </w:trPr>
        <w:tc>
          <w:tcPr>
            <w:tcW w:type="dxa" w:w="2376"/>
            <w:vAlign w:val="center"/>
            <w:tcMar>
              <w:top w:w="80" w:type="dxa"/>
              <w:left w:w="80" w:type="dxa"/>
              <w:bottom w:w="80" w:type="dxa"/>
              <w:right w:w="80" w:type="dxa"/>
            </w:tcMar>
            <w:shd w:fill="FFFFFF"/>
          </w:tcPr>
          <w:p>
            <w:pPr>
              <w:spacing w:after="40" w:before="40" w:line="245" w:lineRule="auto"/>
            </w:pPr>
            <w:r>
              <w:rPr>
                <w:sz w:val="19"/>
              </w:rPr>
              <w:t>Privacy or unauthorized disclosure</w:t>
            </w:r>
          </w:p>
        </w:tc>
        <w:tc>
          <w:tcPr>
            <w:tcW w:type="dxa" w:w="4032"/>
            <w:vAlign w:val="center"/>
            <w:tcMar>
              <w:top w:w="80" w:type="dxa"/>
              <w:left w:w="80" w:type="dxa"/>
              <w:bottom w:w="80" w:type="dxa"/>
              <w:right w:w="80" w:type="dxa"/>
            </w:tcMar>
            <w:shd w:fill="FFFFFF"/>
          </w:tcPr>
          <w:p>
            <w:pPr>
              <w:spacing w:after="40" w:before="40" w:line="245" w:lineRule="auto"/>
            </w:pPr>
            <w:r>
              <w:rPr>
                <w:sz w:val="19"/>
              </w:rPr>
              <w:t>Pseudonymous IDs, least-privilege storage, approved tools, no sensitive operational data.</w:t>
            </w:r>
          </w:p>
        </w:tc>
        <w:tc>
          <w:tcPr>
            <w:tcW w:type="dxa" w:w="3672"/>
            <w:vAlign w:val="center"/>
            <w:tcMar>
              <w:top w:w="80" w:type="dxa"/>
              <w:left w:w="80" w:type="dxa"/>
              <w:bottom w:w="80" w:type="dxa"/>
              <w:right w:w="80" w:type="dxa"/>
            </w:tcMar>
            <w:shd w:fill="FFFFFF"/>
          </w:tcPr>
          <w:p>
            <w:pPr>
              <w:spacing w:after="40" w:before="40" w:line="245" w:lineRule="auto"/>
            </w:pPr>
            <w:r>
              <w:rPr>
                <w:sz w:val="19"/>
              </w:rPr>
              <w:t>Pause affected collection; follow the institution’s incident process.</w:t>
            </w:r>
          </w:p>
        </w:tc>
      </w:tr>
      <w:tr>
        <w:trPr>
          <w:cantSplit/>
        </w:trPr>
        <w:tc>
          <w:tcPr>
            <w:tcW w:type="dxa" w:w="2376"/>
            <w:vAlign w:val="center"/>
            <w:tcMar>
              <w:top w:w="80" w:type="dxa"/>
              <w:left w:w="80" w:type="dxa"/>
              <w:bottom w:w="80" w:type="dxa"/>
              <w:right w:w="80" w:type="dxa"/>
            </w:tcMar>
            <w:shd w:fill="F1F4F0"/>
          </w:tcPr>
          <w:p>
            <w:pPr>
              <w:spacing w:after="40" w:before="40" w:line="245" w:lineRule="auto"/>
            </w:pPr>
            <w:r>
              <w:rPr>
                <w:sz w:val="19"/>
              </w:rPr>
              <w:t>Manufactured evidence or retrospective prediction</w:t>
            </w:r>
          </w:p>
        </w:tc>
        <w:tc>
          <w:tcPr>
            <w:tcW w:type="dxa" w:w="4032"/>
            <w:vAlign w:val="center"/>
            <w:tcMar>
              <w:top w:w="80" w:type="dxa"/>
              <w:left w:w="80" w:type="dxa"/>
              <w:bottom w:w="80" w:type="dxa"/>
              <w:right w:w="80" w:type="dxa"/>
            </w:tcMar>
            <w:shd w:fill="F1F4F0"/>
          </w:tcPr>
          <w:p>
            <w:pPr>
              <w:spacing w:after="40" w:before="40" w:line="245" w:lineRule="auto"/>
            </w:pPr>
            <w:r>
              <w:rPr>
                <w:sz w:val="19"/>
              </w:rPr>
              <w:t>Timestamp the prediction; retain source material and versions; distinguish synthetic from live.</w:t>
            </w:r>
          </w:p>
        </w:tc>
        <w:tc>
          <w:tcPr>
            <w:tcW w:type="dxa" w:w="3672"/>
            <w:vAlign w:val="center"/>
            <w:tcMar>
              <w:top w:w="80" w:type="dxa"/>
              <w:left w:w="80" w:type="dxa"/>
              <w:bottom w:w="80" w:type="dxa"/>
              <w:right w:w="80" w:type="dxa"/>
            </w:tcMar>
            <w:shd w:fill="F1F4F0"/>
          </w:tcPr>
          <w:p>
            <w:pPr>
              <w:spacing w:after="40" w:before="40" w:line="245" w:lineRule="auto"/>
            </w:pPr>
            <w:r>
              <w:rPr>
                <w:sz w:val="19"/>
              </w:rPr>
              <w:t>Suspend the affected result and investigate before interpreting it.</w:t>
            </w:r>
          </w:p>
        </w:tc>
      </w:tr>
      <w:tr>
        <w:trPr>
          <w:cantSplit/>
        </w:trPr>
        <w:tc>
          <w:tcPr>
            <w:tcW w:type="dxa" w:w="2376"/>
            <w:vAlign w:val="center"/>
            <w:tcMar>
              <w:top w:w="80" w:type="dxa"/>
              <w:left w:w="80" w:type="dxa"/>
              <w:bottom w:w="80" w:type="dxa"/>
              <w:right w:w="80" w:type="dxa"/>
            </w:tcMar>
            <w:shd w:fill="FFFFFF"/>
          </w:tcPr>
          <w:p>
            <w:pPr>
              <w:spacing w:after="40" w:before="40" w:line="245" w:lineRule="auto"/>
            </w:pPr>
            <w:r>
              <w:rPr>
                <w:sz w:val="19"/>
              </w:rPr>
              <w:t>Institutional or ethical approval unresolved</w:t>
            </w:r>
          </w:p>
        </w:tc>
        <w:tc>
          <w:tcPr>
            <w:tcW w:type="dxa" w:w="4032"/>
            <w:vAlign w:val="center"/>
            <w:tcMar>
              <w:top w:w="80" w:type="dxa"/>
              <w:left w:w="80" w:type="dxa"/>
              <w:bottom w:w="80" w:type="dxa"/>
              <w:right w:w="80" w:type="dxa"/>
            </w:tcMar>
            <w:shd w:fill="FFFFFF"/>
          </w:tcPr>
          <w:p>
            <w:pPr>
              <w:spacing w:after="40" w:before="40" w:line="245" w:lineRule="auto"/>
            </w:pPr>
            <w:r>
              <w:rPr>
                <w:sz w:val="19"/>
              </w:rPr>
              <w:t>Authorized institutional determination before recruitment or research data collection.</w:t>
            </w:r>
          </w:p>
        </w:tc>
        <w:tc>
          <w:tcPr>
            <w:tcW w:type="dxa" w:w="3672"/>
            <w:vAlign w:val="center"/>
            <w:tcMar>
              <w:top w:w="80" w:type="dxa"/>
              <w:left w:w="80" w:type="dxa"/>
              <w:bottom w:w="80" w:type="dxa"/>
              <w:right w:w="80" w:type="dxa"/>
            </w:tcMar>
            <w:shd w:fill="FFFFFF"/>
          </w:tcPr>
          <w:p>
            <w:pPr>
              <w:spacing w:after="40" w:before="40" w:line="245" w:lineRule="auto"/>
            </w:pPr>
            <w:r>
              <w:rPr>
                <w:sz w:val="19"/>
              </w:rPr>
              <w:t>Do not start the pilot or claim an exemption independently.</w:t>
            </w:r>
          </w:p>
        </w:tc>
      </w:tr>
      <w:tr>
        <w:trPr>
          <w:cantSplit/>
        </w:trPr>
        <w:tc>
          <w:tcPr>
            <w:tcW w:type="dxa" w:w="2376"/>
            <w:vAlign w:val="center"/>
            <w:tcMar>
              <w:top w:w="80" w:type="dxa"/>
              <w:left w:w="80" w:type="dxa"/>
              <w:bottom w:w="80" w:type="dxa"/>
              <w:right w:w="80" w:type="dxa"/>
            </w:tcMar>
            <w:shd w:fill="F1F4F0"/>
          </w:tcPr>
          <w:p>
            <w:pPr>
              <w:spacing w:after="40" w:before="40" w:line="245" w:lineRule="auto"/>
            </w:pPr>
            <w:r>
              <w:rPr>
                <w:sz w:val="19"/>
              </w:rPr>
              <w:t>Overclaiming from a small pilot</w:t>
            </w:r>
          </w:p>
        </w:tc>
        <w:tc>
          <w:tcPr>
            <w:tcW w:type="dxa" w:w="4032"/>
            <w:vAlign w:val="center"/>
            <w:tcMar>
              <w:top w:w="80" w:type="dxa"/>
              <w:left w:w="80" w:type="dxa"/>
              <w:bottom w:w="80" w:type="dxa"/>
              <w:right w:w="80" w:type="dxa"/>
            </w:tcMar>
            <w:shd w:fill="F1F4F0"/>
          </w:tcPr>
          <w:p>
            <w:pPr>
              <w:spacing w:after="40" w:before="40" w:line="245" w:lineRule="auto"/>
            </w:pPr>
            <w:r>
              <w:rPr>
                <w:sz w:val="19"/>
              </w:rPr>
              <w:t>Prespecified readout, comparison, uncertainty, missingness, and scope limits.</w:t>
            </w:r>
          </w:p>
        </w:tc>
        <w:tc>
          <w:tcPr>
            <w:tcW w:type="dxa" w:w="3672"/>
            <w:vAlign w:val="center"/>
            <w:tcMar>
              <w:top w:w="80" w:type="dxa"/>
              <w:left w:w="80" w:type="dxa"/>
              <w:bottom w:w="80" w:type="dxa"/>
              <w:right w:w="80" w:type="dxa"/>
            </w:tcMar>
            <w:shd w:fill="F1F4F0"/>
          </w:tcPr>
          <w:p>
            <w:pPr>
              <w:spacing w:after="40" w:before="40" w:line="245" w:lineRule="auto"/>
            </w:pPr>
            <w:r>
              <w:rPr>
                <w:sz w:val="19"/>
              </w:rPr>
              <w:t>Publish or brief a bounded feasibility conclusion, including negative results.</w:t>
            </w:r>
          </w:p>
        </w:tc>
      </w:tr>
    </w:tbl>
    <w:p>
      <w:pPr>
        <w:spacing w:after="0"/>
      </w:pPr>
    </w:p>
    <w:p>
      <w:pPr>
        <w:pStyle w:val="Heading2"/>
      </w:pPr>
      <w:r>
        <w:t>Data-handling minimum</w:t>
      </w:r>
    </w:p>
    <w:p>
      <w:r>
        <w:t>Before launch, record storage location, account owner, access list, identity-key custodian, retention period, deletion method, permitted AI tools, and permitted sharing. Use only data needed for the study. Research participation and grading arrangements must be reviewed by the institution. Do not claim FERPA, privacy, or ethics compliance from using this template. [7]</w:t>
      </w:r>
    </w:p>
    <w:p>
      <w:pPr>
        <w:pStyle w:val="Heading2"/>
      </w:pPr>
      <w:r>
        <w:t>Immediate stop conditions</w:t>
      </w:r>
    </w:p>
    <w:p>
      <w:r>
        <w:t>Stop the affected activity for unresolved authorization, meaningful safety risk, unapproved protected-data exposure, or a material accessibility failure. Contaminated outcome tasks or unusable scoring require repair and a documented reassessment plan. Stopping a study is not stopping normal student support.</w:t>
      </w:r>
    </w:p>
    <w:p>
      <w:r>
        <w:br w:type="page"/>
      </w:r>
    </w:p>
    <w:p>
      <w:pPr>
        <w:pStyle w:val="Caption"/>
      </w:pPr>
      <w:r>
        <w:t>13  /  IMPLEMENTATION PLAYBOOK</w:t>
      </w:r>
    </w:p>
    <w:p>
      <w:pPr>
        <w:pStyle w:val="Heading1"/>
      </w:pPr>
      <w:r>
        <w:t>Launch and decision gates</w:t>
      </w:r>
    </w:p>
    <w:p>
      <w:r>
        <w:t>All thresholds below are provisional operating choices. Lock them before outcomes; they are not evidence-based standards of educational effectiveness.</w:t>
      </w:r>
    </w:p>
    <w:tbl>
      <w:tblPr>
        <w:tblW w:type="auto" w:w="0"/>
        <w:jc w:val="center"/>
        <w:tblLayout w:type="fixed"/>
        <w:tblLook w:firstColumn="1" w:firstRow="1" w:lastColumn="0" w:lastRow="0" w:noHBand="0" w:noVBand="1" w:val="04A0"/>
      </w:tblPr>
      <w:tblGrid>
        <w:gridCol w:w="2016"/>
        <w:gridCol w:w="5976"/>
        <w:gridCol w:w="2088"/>
      </w:tblGrid>
      <w:tr>
        <w:trPr>
          <w:cantSplit/>
          <w:tblHeader/>
        </w:trPr>
        <w:tc>
          <w:tcPr>
            <w:tcW w:type="dxa" w:w="2016"/>
            <w:vAlign w:val="center"/>
            <w:tcMar>
              <w:top w:w="80" w:type="dxa"/>
              <w:left w:w="80" w:type="dxa"/>
              <w:bottom w:w="80" w:type="dxa"/>
              <w:right w:w="80" w:type="dxa"/>
            </w:tcMar>
            <w:shd w:fill="243B2B"/>
          </w:tcPr>
          <w:p>
            <w:pPr>
              <w:spacing w:after="40" w:before="40" w:line="245" w:lineRule="auto"/>
            </w:pPr>
            <w:r>
              <w:rPr>
                <w:b/>
                <w:color w:val="FFFFFF"/>
                <w:sz w:val="19"/>
              </w:rPr>
              <w:t>Gate</w:t>
            </w:r>
          </w:p>
        </w:tc>
        <w:tc>
          <w:tcPr>
            <w:tcW w:type="dxa" w:w="5976"/>
            <w:vAlign w:val="center"/>
            <w:tcMar>
              <w:top w:w="80" w:type="dxa"/>
              <w:left w:w="80" w:type="dxa"/>
              <w:bottom w:w="80" w:type="dxa"/>
              <w:right w:w="80" w:type="dxa"/>
            </w:tcMar>
            <w:shd w:fill="243B2B"/>
          </w:tcPr>
          <w:p>
            <w:pPr>
              <w:spacing w:after="40" w:before="40" w:line="245" w:lineRule="auto"/>
            </w:pPr>
            <w:r>
              <w:rPr>
                <w:b/>
                <w:color w:val="FFFFFF"/>
                <w:sz w:val="19"/>
              </w:rPr>
              <w:t>Proposed evidence requirement</w:t>
            </w:r>
          </w:p>
        </w:tc>
        <w:tc>
          <w:tcPr>
            <w:tcW w:type="dxa" w:w="2088"/>
            <w:vAlign w:val="center"/>
            <w:tcMar>
              <w:top w:w="80" w:type="dxa"/>
              <w:left w:w="80" w:type="dxa"/>
              <w:bottom w:w="80" w:type="dxa"/>
              <w:right w:w="80" w:type="dxa"/>
            </w:tcMar>
            <w:shd w:fill="243B2B"/>
          </w:tcPr>
          <w:p>
            <w:pPr>
              <w:spacing w:after="40" w:before="40" w:line="245" w:lineRule="auto"/>
            </w:pPr>
            <w:r>
              <w:rPr>
                <w:b/>
                <w:color w:val="FFFFFF"/>
                <w:sz w:val="19"/>
              </w:rPr>
              <w:t>Decision owner</w:t>
            </w:r>
          </w:p>
        </w:tc>
      </w:tr>
      <w:tr>
        <w:trPr>
          <w:cantSplit/>
        </w:trPr>
        <w:tc>
          <w:tcPr>
            <w:tcW w:type="dxa" w:w="2016"/>
            <w:vAlign w:val="center"/>
            <w:tcMar>
              <w:top w:w="80" w:type="dxa"/>
              <w:left w:w="80" w:type="dxa"/>
              <w:bottom w:w="80" w:type="dxa"/>
              <w:right w:w="80" w:type="dxa"/>
            </w:tcMar>
            <w:shd w:fill="F1F4F0"/>
          </w:tcPr>
          <w:p>
            <w:pPr>
              <w:spacing w:after="40" w:before="40" w:line="245" w:lineRule="auto"/>
            </w:pPr>
            <w:r>
              <w:rPr>
                <w:sz w:val="19"/>
              </w:rPr>
              <w:t>G0: ready to recruit</w:t>
            </w:r>
          </w:p>
        </w:tc>
        <w:tc>
          <w:tcPr>
            <w:tcW w:type="dxa" w:w="5976"/>
            <w:vAlign w:val="center"/>
            <w:tcMar>
              <w:top w:w="80" w:type="dxa"/>
              <w:left w:w="80" w:type="dxa"/>
              <w:bottom w:w="80" w:type="dxa"/>
              <w:right w:w="80" w:type="dxa"/>
            </w:tcMar>
            <w:shd w:fill="F1F4F0"/>
          </w:tcPr>
          <w:p>
            <w:pPr>
              <w:spacing w:after="40" w:before="40" w:line="245" w:lineRule="auto"/>
            </w:pPr>
            <w:r>
              <w:rPr>
                <w:sz w:val="19"/>
              </w:rPr>
              <w:t>All owners assigned; institutional review resolved; task/rubric versions locked; data controls and accessibility checked.</w:t>
            </w:r>
          </w:p>
        </w:tc>
        <w:tc>
          <w:tcPr>
            <w:tcW w:type="dxa" w:w="2088"/>
            <w:vAlign w:val="center"/>
            <w:tcMar>
              <w:top w:w="80" w:type="dxa"/>
              <w:left w:w="80" w:type="dxa"/>
              <w:bottom w:w="80" w:type="dxa"/>
              <w:right w:w="80" w:type="dxa"/>
            </w:tcMar>
            <w:shd w:fill="F1F4F0"/>
          </w:tcPr>
          <w:p>
            <w:pPr>
              <w:spacing w:after="40" w:before="40" w:line="245" w:lineRule="auto"/>
            </w:pPr>
            <w:r>
              <w:rPr>
                <w:sz w:val="19"/>
              </w:rPr>
              <w:t>Sponsor</w:t>
            </w:r>
          </w:p>
        </w:tc>
      </w:tr>
      <w:tr>
        <w:trPr>
          <w:cantSplit/>
        </w:trPr>
        <w:tc>
          <w:tcPr>
            <w:tcW w:type="dxa" w:w="2016"/>
            <w:vAlign w:val="center"/>
            <w:tcMar>
              <w:top w:w="80" w:type="dxa"/>
              <w:left w:w="80" w:type="dxa"/>
              <w:bottom w:w="80" w:type="dxa"/>
              <w:right w:w="80" w:type="dxa"/>
            </w:tcMar>
            <w:shd w:fill="FFFFFF"/>
          </w:tcPr>
          <w:p>
            <w:pPr>
              <w:spacing w:after="40" w:before="40" w:line="245" w:lineRule="auto"/>
            </w:pPr>
            <w:r>
              <w:rPr>
                <w:sz w:val="19"/>
              </w:rPr>
              <w:t>G1: feasible to continue</w:t>
            </w:r>
          </w:p>
        </w:tc>
        <w:tc>
          <w:tcPr>
            <w:tcW w:type="dxa" w:w="5976"/>
            <w:vAlign w:val="center"/>
            <w:tcMar>
              <w:top w:w="80" w:type="dxa"/>
              <w:left w:w="80" w:type="dxa"/>
              <w:bottom w:w="80" w:type="dxa"/>
              <w:right w:w="80" w:type="dxa"/>
            </w:tcMar>
            <w:shd w:fill="FFFFFF"/>
          </w:tcPr>
          <w:p>
            <w:pPr>
              <w:spacing w:after="40" w:before="40" w:line="245" w:lineRule="auto"/>
            </w:pPr>
            <w:r>
              <w:rPr>
                <w:sz w:val="19"/>
              </w:rPr>
              <w:t>At least 80% of allocated learners complete independent post assessment; median episode documentation ≤15 minutes; median review ≤20 minutes.</w:t>
            </w:r>
          </w:p>
        </w:tc>
        <w:tc>
          <w:tcPr>
            <w:tcW w:type="dxa" w:w="2088"/>
            <w:vAlign w:val="center"/>
            <w:tcMar>
              <w:top w:w="80" w:type="dxa"/>
              <w:left w:w="80" w:type="dxa"/>
              <w:bottom w:w="80" w:type="dxa"/>
              <w:right w:w="80" w:type="dxa"/>
            </w:tcMar>
            <w:shd w:fill="FFFFFF"/>
          </w:tcPr>
          <w:p>
            <w:pPr>
              <w:spacing w:after="40" w:before="40" w:line="245" w:lineRule="auto"/>
            </w:pPr>
            <w:r>
              <w:rPr>
                <w:sz w:val="19"/>
              </w:rPr>
              <w:t>Faculty + assessment lead</w:t>
            </w:r>
          </w:p>
        </w:tc>
      </w:tr>
      <w:tr>
        <w:trPr>
          <w:cantSplit/>
        </w:trPr>
        <w:tc>
          <w:tcPr>
            <w:tcW w:type="dxa" w:w="2016"/>
            <w:vAlign w:val="center"/>
            <w:tcMar>
              <w:top w:w="80" w:type="dxa"/>
              <w:left w:w="80" w:type="dxa"/>
              <w:bottom w:w="80" w:type="dxa"/>
              <w:right w:w="80" w:type="dxa"/>
            </w:tcMar>
            <w:shd w:fill="F1F4F0"/>
          </w:tcPr>
          <w:p>
            <w:pPr>
              <w:spacing w:after="40" w:before="40" w:line="245" w:lineRule="auto"/>
            </w:pPr>
            <w:r>
              <w:rPr>
                <w:sz w:val="19"/>
              </w:rPr>
              <w:t>G1: scoring usable</w:t>
            </w:r>
          </w:p>
        </w:tc>
        <w:tc>
          <w:tcPr>
            <w:tcW w:type="dxa" w:w="5976"/>
            <w:vAlign w:val="center"/>
            <w:tcMar>
              <w:top w:w="80" w:type="dxa"/>
              <w:left w:w="80" w:type="dxa"/>
              <w:bottom w:w="80" w:type="dxa"/>
              <w:right w:w="80" w:type="dxa"/>
            </w:tcMar>
            <w:shd w:fill="F1F4F0"/>
          </w:tcPr>
          <w:p>
            <w:pPr>
              <w:spacing w:after="40" w:before="40" w:line="245" w:lineRule="auto"/>
            </w:pPr>
            <w:r>
              <w:rPr>
                <w:sz w:val="19"/>
              </w:rPr>
              <w:t>At least 80% exact dimension agreement on the calibration set; all disagreements &gt;1 point adjudicated with original ratings retained.</w:t>
            </w:r>
          </w:p>
        </w:tc>
        <w:tc>
          <w:tcPr>
            <w:tcW w:type="dxa" w:w="2088"/>
            <w:vAlign w:val="center"/>
            <w:tcMar>
              <w:top w:w="80" w:type="dxa"/>
              <w:left w:w="80" w:type="dxa"/>
              <w:bottom w:w="80" w:type="dxa"/>
              <w:right w:w="80" w:type="dxa"/>
            </w:tcMar>
            <w:shd w:fill="F1F4F0"/>
          </w:tcPr>
          <w:p>
            <w:pPr>
              <w:spacing w:after="40" w:before="40" w:line="245" w:lineRule="auto"/>
            </w:pPr>
            <w:r>
              <w:rPr>
                <w:sz w:val="19"/>
              </w:rPr>
              <w:t>Assessment lead</w:t>
            </w:r>
          </w:p>
        </w:tc>
      </w:tr>
      <w:tr>
        <w:trPr>
          <w:cantSplit/>
        </w:trPr>
        <w:tc>
          <w:tcPr>
            <w:tcW w:type="dxa" w:w="2016"/>
            <w:vAlign w:val="center"/>
            <w:tcMar>
              <w:top w:w="80" w:type="dxa"/>
              <w:left w:w="80" w:type="dxa"/>
              <w:bottom w:w="80" w:type="dxa"/>
              <w:right w:w="80" w:type="dxa"/>
            </w:tcMar>
            <w:shd w:fill="FFFFFF"/>
          </w:tcPr>
          <w:p>
            <w:pPr>
              <w:spacing w:after="40" w:before="40" w:line="245" w:lineRule="auto"/>
            </w:pPr>
            <w:r>
              <w:rPr>
                <w:sz w:val="19"/>
              </w:rPr>
              <w:t>G2: larger study justified</w:t>
            </w:r>
          </w:p>
        </w:tc>
        <w:tc>
          <w:tcPr>
            <w:tcW w:type="dxa" w:w="5976"/>
            <w:vAlign w:val="center"/>
            <w:tcMar>
              <w:top w:w="80" w:type="dxa"/>
              <w:left w:w="80" w:type="dxa"/>
              <w:bottom w:w="80" w:type="dxa"/>
              <w:right w:w="80" w:type="dxa"/>
            </w:tcMar>
            <w:shd w:fill="FFFFFF"/>
          </w:tcPr>
          <w:p>
            <w:pPr>
              <w:spacing w:after="40" w:before="40" w:line="245" w:lineRule="auto"/>
            </w:pPr>
            <w:r>
              <w:rPr>
                <w:sz w:val="19"/>
              </w:rPr>
              <w:t>G1 addressed; delayed outcomes and attrition reported; no unresolved material harm; credible learning signal or a documented reason to revise and retest.</w:t>
            </w:r>
          </w:p>
        </w:tc>
        <w:tc>
          <w:tcPr>
            <w:tcW w:type="dxa" w:w="2088"/>
            <w:vAlign w:val="center"/>
            <w:tcMar>
              <w:top w:w="80" w:type="dxa"/>
              <w:left w:w="80" w:type="dxa"/>
              <w:bottom w:w="80" w:type="dxa"/>
              <w:right w:w="80" w:type="dxa"/>
            </w:tcMar>
            <w:shd w:fill="FFFFFF"/>
          </w:tcPr>
          <w:p>
            <w:pPr>
              <w:spacing w:after="40" w:before="40" w:line="245" w:lineRule="auto"/>
            </w:pPr>
            <w:r>
              <w:rPr>
                <w:sz w:val="19"/>
              </w:rPr>
              <w:t>Sponsor + evaluator</w:t>
            </w:r>
          </w:p>
        </w:tc>
      </w:tr>
      <w:tr>
        <w:trPr>
          <w:cantSplit/>
        </w:trPr>
        <w:tc>
          <w:tcPr>
            <w:tcW w:type="dxa" w:w="2016"/>
            <w:vAlign w:val="center"/>
            <w:tcMar>
              <w:top w:w="80" w:type="dxa"/>
              <w:left w:w="80" w:type="dxa"/>
              <w:bottom w:w="80" w:type="dxa"/>
              <w:right w:w="80" w:type="dxa"/>
            </w:tcMar>
            <w:shd w:fill="F1F4F0"/>
          </w:tcPr>
          <w:p>
            <w:pPr>
              <w:spacing w:after="40" w:before="40" w:line="245" w:lineRule="auto"/>
            </w:pPr>
            <w:r>
              <w:rPr>
                <w:sz w:val="19"/>
              </w:rPr>
              <w:t>G3: scale consideration</w:t>
            </w:r>
          </w:p>
        </w:tc>
        <w:tc>
          <w:tcPr>
            <w:tcW w:type="dxa" w:w="5976"/>
            <w:vAlign w:val="center"/>
            <w:tcMar>
              <w:top w:w="80" w:type="dxa"/>
              <w:left w:w="80" w:type="dxa"/>
              <w:bottom w:w="80" w:type="dxa"/>
              <w:right w:w="80" w:type="dxa"/>
            </w:tcMar>
            <w:shd w:fill="F1F4F0"/>
          </w:tcPr>
          <w:p>
            <w:pPr>
              <w:spacing w:after="40" w:before="40" w:line="245" w:lineRule="auto"/>
            </w:pPr>
            <w:r>
              <w:rPr>
                <w:sz w:val="19"/>
              </w:rPr>
              <w:t>Adequately designed follow-on evaluation, independent replication, acceptable cost and access, and verified integration.</w:t>
            </w:r>
          </w:p>
        </w:tc>
        <w:tc>
          <w:tcPr>
            <w:tcW w:type="dxa" w:w="2088"/>
            <w:vAlign w:val="center"/>
            <w:tcMar>
              <w:top w:w="80" w:type="dxa"/>
              <w:left w:w="80" w:type="dxa"/>
              <w:bottom w:w="80" w:type="dxa"/>
              <w:right w:w="80" w:type="dxa"/>
            </w:tcMar>
            <w:shd w:fill="F1F4F0"/>
          </w:tcPr>
          <w:p>
            <w:pPr>
              <w:spacing w:after="40" w:before="40" w:line="245" w:lineRule="auto"/>
            </w:pPr>
            <w:r>
              <w:rPr>
                <w:sz w:val="19"/>
              </w:rPr>
              <w:t>Institutional decision authority</w:t>
            </w:r>
          </w:p>
        </w:tc>
      </w:tr>
    </w:tbl>
    <w:p>
      <w:pPr>
        <w:spacing w:after="0"/>
      </w:pPr>
    </w:p>
    <w:p>
      <w:pPr>
        <w:pStyle w:val="Heading2"/>
      </w:pPr>
      <w:r>
        <w:t>Illustrative staff effort, not a quote or commitment</w:t>
      </w:r>
    </w:p>
    <w:p>
      <w:r>
        <w:t>Faculty lead: 58 hours for design, facilitation, and feedback. Assessment team: 48 hours for tasks, rating, and analysis. Data steward: 12 hours for setup and weekly quality checks. Sponsor: 4 hours for approvals and readouts. Total: 122 staff hours, to be re-estimated after the dry run. Institutional review and exceptional remediation may add effort.</w:t>
      </w:r>
    </w:p>
    <w:p>
      <w:pPr>
        <w:pStyle w:val="Heading2"/>
      </w:pPr>
      <w:r>
        <w:t>First five actions</w:t>
      </w:r>
    </w:p>
    <w:p>
      <w:r>
        <w:t>Name the faculty sponsor and assessment lead. Choose the existing module and synthetic problem. Map prerequisites and learning objectives. Complete the Pilot tab, including unresolved approvals. Dry-run one episode and two independently scored responses before setting recruitment dates.</w:t>
      </w:r>
    </w:p>
    <w:p>
      <w:pPr>
        <w:pStyle w:val="Heading2"/>
      </w:pPr>
      <w:r>
        <w:t>Decision memo template</w:t>
      </w:r>
    </w:p>
    <w:p>
      <w:r>
        <w:t>State the locked hypothesis and protocol version; who participated and who did not complete; independent and assisted results separately; uncertainty and deviations; workload and access barriers; unresolved risks; and the specific stop, repair, or larger-study recommendation. Attach source artifacts rather than only a dashboard screenshot.</w:t>
      </w:r>
    </w:p>
    <w:tbl>
      <w:tblPr>
        <w:tblW w:type="auto" w:w="0"/>
        <w:jc w:val="center"/>
        <w:tblLook w:firstColumn="1" w:firstRow="1" w:lastColumn="0" w:lastRow="0" w:noHBand="0" w:noVBand="1" w:val="04A0"/>
      </w:tblPr>
      <w:tblGrid>
        <w:gridCol w:w="10166"/>
      </w:tblGrid>
      <w:tr>
        <w:tc>
          <w:tcPr>
            <w:tcW w:type="dxa" w:w="10166"/>
            <w:shd w:fill="EDF2ED"/>
          </w:tcPr>
          <w:p>
            <w:r>
              <w:rPr>
                <w:sz w:val="22"/>
              </w:rPr>
            </w:r>
            <w:r>
              <w:rPr>
                <w:b/>
                <w:color w:val="243B2B"/>
                <w:sz w:val="22"/>
              </w:rPr>
              <w:t>Product decision</w:t>
              <w:br/>
            </w:r>
            <w:r>
              <w:rPr>
                <w:sz w:val="22"/>
              </w:rPr>
              <w:t>The first product is a repeatable, evidence-bearing learning episode. Earn the right to build a platform by showing that this small unit improves the work.</w:t>
            </w:r>
          </w:p>
        </w:tc>
      </w:tr>
    </w:tbl>
    <w:p>
      <w:pPr>
        <w:spacing w:after="0"/>
      </w:pPr>
    </w:p>
    <w:p>
      <w:r>
        <w:br w:type="page"/>
      </w:r>
    </w:p>
    <w:p>
      <w:pPr>
        <w:pStyle w:val="Caption"/>
      </w:pPr>
      <w:r>
        <w:t>14  /  IMPLEMENTATION PLAYBOOK</w:t>
      </w:r>
    </w:p>
    <w:p>
      <w:pPr>
        <w:pStyle w:val="Heading1"/>
      </w:pPr>
      <w:r>
        <w:t>Field card: use at the desk</w:t>
      </w:r>
    </w:p>
    <w:p>
      <w:r>
        <w:t>A compact operating script for learners, reviewers, and instructors.</w:t>
      </w:r>
    </w:p>
    <w:p>
      <w:pPr>
        <w:pStyle w:val="Heading2"/>
      </w:pPr>
      <w:r>
        <w:t>Learner submission</w:t>
      </w:r>
    </w:p>
    <w:tbl>
      <w:tblPr>
        <w:tblW w:type="auto" w:w="0"/>
        <w:jc w:val="center"/>
        <w:tblLayout w:type="fixed"/>
        <w:tblLook w:firstColumn="1" w:firstRow="1" w:lastColumn="0" w:lastRow="0" w:noHBand="0" w:noVBand="1" w:val="04A0"/>
      </w:tblPr>
      <w:tblGrid>
        <w:gridCol w:w="3528"/>
        <w:gridCol w:w="6552"/>
      </w:tblGrid>
      <w:tr>
        <w:trPr>
          <w:cantSplit/>
          <w:tblHeader/>
        </w:trPr>
        <w:tc>
          <w:tcPr>
            <w:tcW w:type="dxa" w:w="3528"/>
            <w:vAlign w:val="center"/>
            <w:tcMar>
              <w:top w:w="80" w:type="dxa"/>
              <w:left w:w="80" w:type="dxa"/>
              <w:bottom w:w="80" w:type="dxa"/>
              <w:right w:w="80" w:type="dxa"/>
            </w:tcMar>
            <w:shd w:fill="243B2B"/>
          </w:tcPr>
          <w:p>
            <w:pPr>
              <w:spacing w:after="40" w:before="40" w:line="245" w:lineRule="auto"/>
            </w:pPr>
            <w:r>
              <w:rPr>
                <w:b/>
                <w:color w:val="FFFFFF"/>
                <w:sz w:val="20"/>
              </w:rPr>
              <w:t>Prompt</w:t>
            </w:r>
          </w:p>
        </w:tc>
        <w:tc>
          <w:tcPr>
            <w:tcW w:type="dxa" w:w="6552"/>
            <w:vAlign w:val="center"/>
            <w:tcMar>
              <w:top w:w="80" w:type="dxa"/>
              <w:left w:w="80" w:type="dxa"/>
              <w:bottom w:w="80" w:type="dxa"/>
              <w:right w:w="80" w:type="dxa"/>
            </w:tcMar>
            <w:shd w:fill="243B2B"/>
          </w:tcPr>
          <w:p>
            <w:pPr>
              <w:spacing w:after="40" w:before="40" w:line="245" w:lineRule="auto"/>
            </w:pPr>
            <w:r>
              <w:rPr>
                <w:b/>
                <w:color w:val="FFFFFF"/>
                <w:sz w:val="20"/>
              </w:rPr>
              <w:t>Record</w:t>
            </w:r>
          </w:p>
        </w:tc>
      </w:tr>
      <w:tr>
        <w:trPr>
          <w:cantSplit/>
        </w:trPr>
        <w:tc>
          <w:tcPr>
            <w:tcW w:type="dxa" w:w="3528"/>
            <w:vAlign w:val="center"/>
            <w:tcMar>
              <w:top w:w="80" w:type="dxa"/>
              <w:left w:w="80" w:type="dxa"/>
              <w:bottom w:w="80" w:type="dxa"/>
              <w:right w:w="80" w:type="dxa"/>
            </w:tcMar>
            <w:shd w:fill="F1F4F0"/>
          </w:tcPr>
          <w:p>
            <w:pPr>
              <w:spacing w:after="40" w:before="40" w:line="245" w:lineRule="auto"/>
            </w:pPr>
            <w:r>
              <w:rPr>
                <w:sz w:val="20"/>
              </w:rPr>
              <w:t>What am I trying to establish?</w:t>
            </w:r>
          </w:p>
        </w:tc>
        <w:tc>
          <w:tcPr>
            <w:tcW w:type="dxa" w:w="6552"/>
            <w:vAlign w:val="center"/>
            <w:tcMar>
              <w:top w:w="80" w:type="dxa"/>
              <w:left w:w="80" w:type="dxa"/>
              <w:bottom w:w="80" w:type="dxa"/>
              <w:right w:w="80" w:type="dxa"/>
            </w:tcMar>
            <w:shd w:fill="F1F4F0"/>
          </w:tcPr>
          <w:p>
            <w:pPr>
              <w:spacing w:after="40" w:before="40" w:line="245" w:lineRule="auto"/>
            </w:pPr>
            <w:r>
              <w:rPr>
                <w:sz w:val="20"/>
              </w:rPr>
              <w:t>Episode ID, objective, success criterion, stakeholder, scope.</w:t>
            </w:r>
          </w:p>
        </w:tc>
      </w:tr>
      <w:tr>
        <w:trPr>
          <w:cantSplit/>
        </w:trPr>
        <w:tc>
          <w:tcPr>
            <w:tcW w:type="dxa" w:w="3528"/>
            <w:vAlign w:val="center"/>
            <w:tcMar>
              <w:top w:w="80" w:type="dxa"/>
              <w:left w:w="80" w:type="dxa"/>
              <w:bottom w:w="80" w:type="dxa"/>
              <w:right w:w="80" w:type="dxa"/>
            </w:tcMar>
            <w:shd w:fill="FFFFFF"/>
          </w:tcPr>
          <w:p>
            <w:pPr>
              <w:spacing w:after="40" w:before="40" w:line="245" w:lineRule="auto"/>
            </w:pPr>
            <w:r>
              <w:rPr>
                <w:sz w:val="20"/>
              </w:rPr>
              <w:t>What am I starting from?</w:t>
            </w:r>
          </w:p>
        </w:tc>
        <w:tc>
          <w:tcPr>
            <w:tcW w:type="dxa" w:w="6552"/>
            <w:vAlign w:val="center"/>
            <w:tcMar>
              <w:top w:w="80" w:type="dxa"/>
              <w:left w:w="80" w:type="dxa"/>
              <w:bottom w:w="80" w:type="dxa"/>
              <w:right w:w="80" w:type="dxa"/>
            </w:tcMar>
            <w:shd w:fill="FFFFFF"/>
          </w:tcPr>
          <w:p>
            <w:pPr>
              <w:spacing w:after="40" w:before="40" w:line="245" w:lineRule="auto"/>
            </w:pPr>
            <w:r>
              <w:rPr>
                <w:sz w:val="20"/>
              </w:rPr>
              <w:t>Definitions, principles, observations, assumptions, and authorized choices.</w:t>
            </w:r>
          </w:p>
        </w:tc>
      </w:tr>
      <w:tr>
        <w:trPr>
          <w:cantSplit/>
        </w:trPr>
        <w:tc>
          <w:tcPr>
            <w:tcW w:type="dxa" w:w="3528"/>
            <w:vAlign w:val="center"/>
            <w:tcMar>
              <w:top w:w="80" w:type="dxa"/>
              <w:left w:w="80" w:type="dxa"/>
              <w:bottom w:w="80" w:type="dxa"/>
              <w:right w:w="80" w:type="dxa"/>
            </w:tcMar>
            <w:shd w:fill="F1F4F0"/>
          </w:tcPr>
          <w:p>
            <w:pPr>
              <w:spacing w:after="40" w:before="40" w:line="245" w:lineRule="auto"/>
            </w:pPr>
            <w:r>
              <w:rPr>
                <w:sz w:val="20"/>
              </w:rPr>
              <w:t>How does the conclusion follow?</w:t>
            </w:r>
          </w:p>
        </w:tc>
        <w:tc>
          <w:tcPr>
            <w:tcW w:type="dxa" w:w="6552"/>
            <w:vAlign w:val="center"/>
            <w:tcMar>
              <w:top w:w="80" w:type="dxa"/>
              <w:left w:w="80" w:type="dxa"/>
              <w:bottom w:w="80" w:type="dxa"/>
              <w:right w:w="80" w:type="dxa"/>
            </w:tcMar>
            <w:shd w:fill="F1F4F0"/>
          </w:tcPr>
          <w:p>
            <w:pPr>
              <w:spacing w:after="40" w:before="40" w:line="245" w:lineRule="auto"/>
            </w:pPr>
            <w:r>
              <w:rPr>
                <w:sz w:val="20"/>
              </w:rPr>
              <w:t>Derivation or argument, model/version, units, and competing explanation.</w:t>
            </w:r>
          </w:p>
        </w:tc>
      </w:tr>
      <w:tr>
        <w:trPr>
          <w:cantSplit/>
        </w:trPr>
        <w:tc>
          <w:tcPr>
            <w:tcW w:type="dxa" w:w="3528"/>
            <w:vAlign w:val="center"/>
            <w:tcMar>
              <w:top w:w="80" w:type="dxa"/>
              <w:left w:w="80" w:type="dxa"/>
              <w:bottom w:w="80" w:type="dxa"/>
              <w:right w:w="80" w:type="dxa"/>
            </w:tcMar>
            <w:shd w:fill="FFFFFF"/>
          </w:tcPr>
          <w:p>
            <w:pPr>
              <w:spacing w:after="40" w:before="40" w:line="245" w:lineRule="auto"/>
            </w:pPr>
            <w:r>
              <w:rPr>
                <w:sz w:val="20"/>
              </w:rPr>
              <w:t>What should happen next?</w:t>
            </w:r>
          </w:p>
        </w:tc>
        <w:tc>
          <w:tcPr>
            <w:tcW w:type="dxa" w:w="6552"/>
            <w:vAlign w:val="center"/>
            <w:tcMar>
              <w:top w:w="80" w:type="dxa"/>
              <w:left w:w="80" w:type="dxa"/>
              <w:bottom w:w="80" w:type="dxa"/>
              <w:right w:w="80" w:type="dxa"/>
            </w:tcMar>
            <w:shd w:fill="FFFFFF"/>
          </w:tcPr>
          <w:p>
            <w:pPr>
              <w:spacing w:after="40" w:before="40" w:line="245" w:lineRule="auto"/>
            </w:pPr>
            <w:r>
              <w:rPr>
                <w:sz w:val="20"/>
              </w:rPr>
              <w:t>Prediction, resolution, horizon, uncertainty basis, reliability evidence, and re-observation trigger.</w:t>
            </w:r>
          </w:p>
        </w:tc>
      </w:tr>
      <w:tr>
        <w:trPr>
          <w:cantSplit/>
        </w:trPr>
        <w:tc>
          <w:tcPr>
            <w:tcW w:type="dxa" w:w="3528"/>
            <w:vAlign w:val="center"/>
            <w:tcMar>
              <w:top w:w="80" w:type="dxa"/>
              <w:left w:w="80" w:type="dxa"/>
              <w:bottom w:w="80" w:type="dxa"/>
              <w:right w:w="80" w:type="dxa"/>
            </w:tcMar>
            <w:shd w:fill="F1F4F0"/>
          </w:tcPr>
          <w:p>
            <w:pPr>
              <w:spacing w:after="40" w:before="40" w:line="245" w:lineRule="auto"/>
            </w:pPr>
            <w:r>
              <w:rPr>
                <w:sz w:val="20"/>
              </w:rPr>
              <w:t>What actually happened?</w:t>
            </w:r>
          </w:p>
        </w:tc>
        <w:tc>
          <w:tcPr>
            <w:tcW w:type="dxa" w:w="6552"/>
            <w:vAlign w:val="center"/>
            <w:tcMar>
              <w:top w:w="80" w:type="dxa"/>
              <w:left w:w="80" w:type="dxa"/>
              <w:bottom w:w="80" w:type="dxa"/>
              <w:right w:w="80" w:type="dxa"/>
            </w:tcMar>
            <w:shd w:fill="F1F4F0"/>
          </w:tcPr>
          <w:p>
            <w:pPr>
              <w:spacing w:after="40" w:before="40" w:line="245" w:lineRule="auto"/>
            </w:pPr>
            <w:r>
              <w:rPr>
                <w:sz w:val="20"/>
              </w:rPr>
              <w:t>Measurement method, timestamp, units, evidence pointer, and limits.</w:t>
            </w:r>
          </w:p>
        </w:tc>
      </w:tr>
      <w:tr>
        <w:trPr>
          <w:cantSplit/>
        </w:trPr>
        <w:tc>
          <w:tcPr>
            <w:tcW w:type="dxa" w:w="3528"/>
            <w:vAlign w:val="center"/>
            <w:tcMar>
              <w:top w:w="80" w:type="dxa"/>
              <w:left w:w="80" w:type="dxa"/>
              <w:bottom w:w="80" w:type="dxa"/>
              <w:right w:w="80" w:type="dxa"/>
            </w:tcMar>
            <w:shd w:fill="FFFFFF"/>
          </w:tcPr>
          <w:p>
            <w:pPr>
              <w:spacing w:after="40" w:before="40" w:line="245" w:lineRule="auto"/>
            </w:pPr>
            <w:r>
              <w:rPr>
                <w:sz w:val="20"/>
              </w:rPr>
              <w:t>What changed and who approved it?</w:t>
            </w:r>
          </w:p>
        </w:tc>
        <w:tc>
          <w:tcPr>
            <w:tcW w:type="dxa" w:w="6552"/>
            <w:vAlign w:val="center"/>
            <w:tcMar>
              <w:top w:w="80" w:type="dxa"/>
              <w:left w:w="80" w:type="dxa"/>
              <w:bottom w:w="80" w:type="dxa"/>
              <w:right w:w="80" w:type="dxa"/>
            </w:tcMar>
            <w:shd w:fill="FFFFFF"/>
          </w:tcPr>
          <w:p>
            <w:pPr>
              <w:spacing w:after="40" w:before="40" w:line="245" w:lineRule="auto"/>
            </w:pPr>
            <w:r>
              <w:rPr>
                <w:sz w:val="20"/>
              </w:rPr>
              <w:t>Discrepancy, review, patch, authorization, application, and verification.</w:t>
            </w:r>
          </w:p>
        </w:tc>
      </w:tr>
      <w:tr>
        <w:trPr>
          <w:cantSplit/>
        </w:trPr>
        <w:tc>
          <w:tcPr>
            <w:tcW w:type="dxa" w:w="3528"/>
            <w:vAlign w:val="center"/>
            <w:tcMar>
              <w:top w:w="80" w:type="dxa"/>
              <w:left w:w="80" w:type="dxa"/>
              <w:bottom w:w="80" w:type="dxa"/>
              <w:right w:w="80" w:type="dxa"/>
            </w:tcMar>
            <w:shd w:fill="F1F4F0"/>
          </w:tcPr>
          <w:p>
            <w:pPr>
              <w:spacing w:after="40" w:before="40" w:line="245" w:lineRule="auto"/>
            </w:pPr>
            <w:r>
              <w:rPr>
                <w:sz w:val="20"/>
              </w:rPr>
              <w:t>What can I defend without AI?</w:t>
            </w:r>
          </w:p>
        </w:tc>
        <w:tc>
          <w:tcPr>
            <w:tcW w:type="dxa" w:w="6552"/>
            <w:vAlign w:val="center"/>
            <w:tcMar>
              <w:top w:w="80" w:type="dxa"/>
              <w:left w:w="80" w:type="dxa"/>
              <w:bottom w:w="80" w:type="dxa"/>
              <w:right w:w="80" w:type="dxa"/>
            </w:tcMar>
            <w:shd w:fill="F1F4F0"/>
          </w:tcPr>
          <w:p>
            <w:pPr>
              <w:spacing w:after="40" w:before="40" w:line="245" w:lineRule="auto"/>
            </w:pPr>
            <w:r>
              <w:rPr>
                <w:sz w:val="20"/>
              </w:rPr>
              <w:t>Independent response; help received; parts I can and cannot justify.</w:t>
            </w:r>
          </w:p>
        </w:tc>
      </w:tr>
      <w:tr>
        <w:trPr>
          <w:cantSplit/>
        </w:trPr>
        <w:tc>
          <w:tcPr>
            <w:tcW w:type="dxa" w:w="3528"/>
            <w:vAlign w:val="center"/>
            <w:tcMar>
              <w:top w:w="80" w:type="dxa"/>
              <w:left w:w="80" w:type="dxa"/>
              <w:bottom w:w="80" w:type="dxa"/>
              <w:right w:w="80" w:type="dxa"/>
            </w:tcMar>
            <w:shd w:fill="FFFFFF"/>
          </w:tcPr>
          <w:p>
            <w:pPr>
              <w:spacing w:after="40" w:before="40" w:line="245" w:lineRule="auto"/>
            </w:pPr>
            <w:r>
              <w:rPr>
                <w:sz w:val="20"/>
              </w:rPr>
              <w:t>Where can this be reused?</w:t>
            </w:r>
          </w:p>
        </w:tc>
        <w:tc>
          <w:tcPr>
            <w:tcW w:type="dxa" w:w="6552"/>
            <w:vAlign w:val="center"/>
            <w:tcMar>
              <w:top w:w="80" w:type="dxa"/>
              <w:left w:w="80" w:type="dxa"/>
              <w:bottom w:w="80" w:type="dxa"/>
              <w:right w:w="80" w:type="dxa"/>
            </w:tcMar>
            <w:shd w:fill="FFFFFF"/>
          </w:tcPr>
          <w:p>
            <w:pPr>
              <w:spacing w:after="40" w:before="40" w:line="245" w:lineRule="auto"/>
            </w:pPr>
            <w:r>
              <w:rPr>
                <w:sz w:val="20"/>
              </w:rPr>
              <w:t>New task, transferable structure, failed analogy, unresolved boundary.</w:t>
            </w:r>
          </w:p>
        </w:tc>
      </w:tr>
    </w:tbl>
    <w:p>
      <w:pPr>
        <w:spacing w:after="0"/>
      </w:pPr>
    </w:p>
    <w:p>
      <w:pPr>
        <w:pStyle w:val="Heading2"/>
      </w:pPr>
      <w:r>
        <w:t>Reviewer challenge</w:t>
      </w:r>
    </w:p>
    <w:p>
      <w:r>
        <w:t>Point to the weakest consequential assumption. Name an alternative explanation. Identify an observation that would change the decision. Ask the learner to reconstruct one important step without AI. Change one condition and test whether the model still applies. Check that revision did not erase the original evidence.</w:t>
      </w:r>
    </w:p>
    <w:p>
      <w:pPr>
        <w:pStyle w:val="Heading2"/>
      </w:pPr>
      <w:r>
        <w:t>Instructor closeout</w:t>
      </w:r>
    </w:p>
    <w:p>
      <w:r>
        <w:t>Confirm prerequisite support was adequate. Record demonstrated strengths and one specific next learning action. Keep the individual profile separate from a group result. Preserve counterexamples and well-justified failures in Memory. A corrected claim is evidence of revision, not automatic proof of mastery.</w:t>
      </w:r>
    </w:p>
    <w:p>
      <w:pPr>
        <w:pStyle w:val="Heading2"/>
      </w:pPr>
      <w:r>
        <w:t>Minimal episode handoff</w:t>
      </w:r>
    </w:p>
    <w:tbl>
      <w:tblPr>
        <w:tblW w:type="auto" w:w="0"/>
        <w:jc w:val="center"/>
        <w:tblLook w:firstColumn="1" w:firstRow="1" w:lastColumn="0" w:lastRow="0" w:noHBand="0" w:noVBand="1" w:val="04A0"/>
      </w:tblPr>
      <w:tblGrid>
        <w:gridCol w:w="10166"/>
      </w:tblGrid>
      <w:tr>
        <w:tc>
          <w:tcPr>
            <w:tcW w:type="dxa" w:w="10166"/>
            <w:shd w:fill="EDF2ED"/>
          </w:tcPr>
          <w:p>
            <w:r>
              <w:rPr>
                <w:sz w:val="22"/>
              </w:rPr>
            </w:r>
            <w:r>
              <w:rPr>
                <w:b/>
                <w:color w:val="243B2B"/>
                <w:sz w:val="22"/>
              </w:rPr>
              <w:t>Handoff sentence</w:t>
              <w:br/>
            </w:r>
            <w:r>
              <w:rPr>
                <w:sz w:val="22"/>
              </w:rPr>
              <w:t>“Episode [ID], model [version], supports [claim] under [boundary], using [evidence]. [Change] was authorized by [role] and applied in [version]. [Outcome] was observed or remains unobserved. Reopen review at [trigger]. Independent transfer is [demonstrated / not demonstrated / unassessed].”</w:t>
            </w:r>
          </w:p>
        </w:tc>
      </w:tr>
    </w:tbl>
    <w:p>
      <w:pPr>
        <w:spacing w:after="0"/>
      </w:pPr>
    </w:p>
    <w:p>
      <w:r>
        <w:br w:type="page"/>
      </w:r>
    </w:p>
    <w:p>
      <w:pPr>
        <w:pStyle w:val="Caption"/>
      </w:pPr>
      <w:r>
        <w:t>15  /  IMPLEMENTATION PLAYBOOK</w:t>
      </w:r>
    </w:p>
    <w:p>
      <w:pPr>
        <w:pStyle w:val="Heading1"/>
      </w:pPr>
      <w:r>
        <w:t>Research and provenance</w:t>
      </w:r>
    </w:p>
    <w:p>
      <w:r>
        <w:t>Sources checked October 23, 2026. References inform the design; no listed organization endorses Deep Sigma or this pilot.</w:t>
      </w:r>
    </w:p>
    <w:p>
      <w:pPr>
        <w:spacing w:after="40"/>
      </w:pPr>
      <w:r>
        <w:rPr>
          <w:sz w:val="19"/>
        </w:rPr>
        <w:t>[1] National Academies of Sciences, Engineering, and Medicine (2018). How People Learn II: Learners, Contexts, and Cultures. Chapter 5, Knowledge and Reasoning. DOI: 10.17226/24783.</w:t>
      </w:r>
    </w:p>
    <w:p>
      <w:pPr>
        <w:spacing w:after="180"/>
      </w:pPr>
      <w:r>
        <w:rPr>
          <w:color w:val="56635A"/>
          <w:sz w:val="17"/>
        </w:rPr>
        <w:t>https://www.nationalacademies.org/read/24783/chapter/7</w:t>
      </w:r>
    </w:p>
    <w:p>
      <w:pPr>
        <w:spacing w:after="40"/>
      </w:pPr>
      <w:r>
        <w:rPr>
          <w:sz w:val="19"/>
        </w:rPr>
        <w:t>[2] Freeman, S., et al. (2014). Active learning increases student performance in science, engineering, and mathematics. PNAS, 111(23), 8410–8415. DOI: 10.1073/pnas.1319030111.</w:t>
      </w:r>
    </w:p>
    <w:p>
      <w:pPr>
        <w:spacing w:after="180"/>
      </w:pPr>
      <w:r>
        <w:rPr>
          <w:color w:val="56635A"/>
          <w:sz w:val="17"/>
        </w:rPr>
        <w:t>https://pubmed.ncbi.nlm.nih.gov/24821756/</w:t>
      </w:r>
    </w:p>
    <w:p>
      <w:pPr>
        <w:spacing w:after="40"/>
      </w:pPr>
      <w:r>
        <w:rPr>
          <w:sz w:val="19"/>
        </w:rPr>
        <w:t>[3] Bastani, H., et al. (2025). Generative AI without guardrails can harm learning: Evidence from high school mathematics. PNAS, 122(26), e2422633122. DOI: 10.1073/pnas.2422633122. Publisher also lists a correction, DOI: 10.1073/pnas.2518204122.</w:t>
      </w:r>
    </w:p>
    <w:p>
      <w:pPr>
        <w:spacing w:after="180"/>
      </w:pPr>
      <w:r>
        <w:rPr>
          <w:color w:val="56635A"/>
          <w:sz w:val="17"/>
        </w:rPr>
        <w:t>https://hamsabastani.github.io/education_llm.pdf</w:t>
      </w:r>
    </w:p>
    <w:p>
      <w:pPr>
        <w:spacing w:after="40"/>
      </w:pPr>
      <w:r>
        <w:rPr>
          <w:sz w:val="19"/>
        </w:rPr>
        <w:t>[4] Kestin, G., Miller, K., Klales, A., Milbourne, T., and Ponti, G. (2025). AI tutoring outperforms in-class active learning: an RCT introducing a novel research-based design in an authentic educational setting. Scientific Reports, 15, 17458. DOI: 10.1038/s41598-025-97652-6.</w:t>
      </w:r>
    </w:p>
    <w:p>
      <w:pPr>
        <w:spacing w:after="180"/>
      </w:pPr>
      <w:r>
        <w:rPr>
          <w:color w:val="56635A"/>
          <w:sz w:val="17"/>
        </w:rPr>
        <w:t>https://www.nature.com/articles/s41598-025-97652-6</w:t>
      </w:r>
    </w:p>
    <w:p>
      <w:pPr>
        <w:spacing w:after="40"/>
      </w:pPr>
      <w:r>
        <w:rPr>
          <w:sz w:val="19"/>
        </w:rPr>
        <w:t>[5] Massachusetts Institute of Technology. New Engineering Education Transformation (NEET), program description. Current institutional example; launched in 2017.</w:t>
      </w:r>
    </w:p>
    <w:p>
      <w:pPr>
        <w:spacing w:after="180"/>
      </w:pPr>
      <w:r>
        <w:rPr>
          <w:color w:val="56635A"/>
          <w:sz w:val="17"/>
        </w:rPr>
        <w:t>https://neet.mit.edu/about/program</w:t>
      </w:r>
    </w:p>
    <w:p>
      <w:pPr>
        <w:spacing w:after="40"/>
      </w:pPr>
      <w:r>
        <w:rPr>
          <w:sz w:val="19"/>
        </w:rPr>
        <w:t>[6] AERA, APA, and NCME (2014). Standards for Educational and Psychological Testing. Chapter 1, Validity, especially printed page 11. Use here concerns evidence for intended score interpretations, not a claim of certified compliance.</w:t>
      </w:r>
    </w:p>
    <w:p>
      <w:pPr>
        <w:spacing w:after="180"/>
      </w:pPr>
      <w:r>
        <w:rPr>
          <w:color w:val="56635A"/>
          <w:sz w:val="17"/>
        </w:rPr>
        <w:t>https://www.testingstandards.net/uploads/7/6/6/4/76643089/standards_2014edition.pdf</w:t>
      </w:r>
    </w:p>
    <w:p>
      <w:pPr>
        <w:spacing w:after="40"/>
      </w:pPr>
      <w:r>
        <w:rPr>
          <w:sz w:val="19"/>
        </w:rPr>
        <w:t>[7] Miao, F., and Holmes, W. (2023). Guidance for generative AI in education and research. UNESCO. Landing page updated January 16, 2026.</w:t>
      </w:r>
    </w:p>
    <w:p>
      <w:pPr>
        <w:spacing w:after="180"/>
      </w:pPr>
      <w:r>
        <w:rPr>
          <w:color w:val="56635A"/>
          <w:sz w:val="17"/>
        </w:rPr>
        <w:t>https://www.unesco.org/en/articles/guidance-generative-ai-education-and-research</w:t>
      </w:r>
    </w:p>
    <w:p>
      <w:pPr>
        <w:pStyle w:val="Heading2"/>
      </w:pPr>
      <w:r>
        <w:t>Project-specific provenance</w:t>
      </w:r>
    </w:p>
    <w:p>
      <w:pPr>
        <w:pStyle w:val="Caption"/>
      </w:pPr>
      <w:r>
        <w:t>The Σ FIRST name, proposed pilot, CERPA workflow, Deep Sigma component mappings, and six-state/prediction-boundary requirements are synthesized from the supplied project conversation. They are design inputs, not independently audited software capabilities. All local thresholds, staffing estimates, templates, and synthetic values in this package are proposed for review.</w:t>
      </w:r>
    </w:p>
    <w:p>
      <w:pPr>
        <w:pStyle w:val="Caption"/>
      </w:pPr>
      <w:r>
        <w:t>Scope of this build: playbook and workbook authoring with artifact checks. No learner data, institutional authorization, repository modifications, partner commitments, enrollment, or education-outcome results were created or asserted.</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35A"/>
        <w:sz w:val="16"/>
      </w:rPr>
      <w:t xml:space="preserve">Σ FIRST  |  v0.1 • PILOT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6635A"/>
        <w:sz w:val="16"/>
      </w:rPr>
      <w:t>DEEP SIGMA  /  LEARNING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720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243B2B"/>
      <w:sz w:val="4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43B2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43B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b/>
      <w:color w:val="243B2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17201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663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Sigma | Sigma FIRST Implementation Playbook</dc:title>
  <dc:subject>First Principles, Independent Reasoning &amp; Systems Transfer</dc:subject>
  <dc:creator>Deep Sigma</dc:creator>
  <cp:keywords>Deep Sigma; CERPA; first principles; education; pilot; transfer; AI</cp:keywords>
  <dc:description>Proposed educational pilot. No efficacy, deployment, or accreditation claim.</dc:description>
  <cp:lastModifiedBy/>
  <cp:revision>1</cp:revision>
  <dcterms:created xsi:type="dcterms:W3CDTF">2013-12-23T23:15:00Z</dcterms:created>
  <dcterms:modified xsi:type="dcterms:W3CDTF">2013-12-23T23:15:00Z</dcterms:modified>
  <cp:category/>
</cp:coreProperties>
</file>