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405CE">
      <w:pPr>
        <w:spacing w:after="0" w:line="240" w:lineRule="auto"/>
        <w:jc w:val="center"/>
        <w:rPr>
          <w:rFonts w:ascii="Bell MT" w:hAnsi="Bell MT"/>
          <w:b/>
          <w:bCs/>
          <w:sz w:val="36"/>
          <w:szCs w:val="36"/>
        </w:rPr>
      </w:pPr>
      <w:r>
        <w:rPr>
          <w:rFonts w:ascii="Bell MT" w:hAnsi="Bell MT"/>
          <w:b/>
          <w:bCs/>
          <w:sz w:val="36"/>
          <w:szCs w:val="36"/>
        </w:rPr>
        <w:t>GEOSPATIAL INTELLIGENCE FOUNDATION</w:t>
      </w:r>
    </w:p>
    <w:p w14:paraId="17282E2C">
      <w:pPr>
        <w:spacing w:after="0" w:line="240" w:lineRule="auto"/>
        <w:jc w:val="center"/>
        <w:rPr>
          <w:rFonts w:ascii="Bell MT" w:hAnsi="Bell MT"/>
          <w:b/>
          <w:bCs/>
          <w:color w:val="EE0000"/>
          <w:sz w:val="36"/>
          <w:szCs w:val="36"/>
        </w:rPr>
      </w:pPr>
      <w:r>
        <w:rPr>
          <w:rFonts w:ascii="Bell MT" w:hAnsi="Bell MT"/>
          <w:b/>
          <w:bCs/>
          <w:sz w:val="36"/>
          <w:szCs w:val="36"/>
        </w:rPr>
        <w:t>OF NIGERIA (GIFON)</w:t>
      </w:r>
      <w:r>
        <w:rPr>
          <w:rFonts w:ascii="Bell MT" w:hAnsi="Bell MT"/>
          <w:sz w:val="36"/>
          <w:szCs w:val="36"/>
        </w:rPr>
        <w:br w:type="textWrapping"/>
      </w:r>
    </w:p>
    <w:p w14:paraId="66BA300A">
      <w:pPr>
        <w:spacing w:after="0" w:line="240" w:lineRule="auto"/>
        <w:jc w:val="center"/>
        <w:rPr>
          <w:rFonts w:ascii="Bell MT" w:hAnsi="Bell MT"/>
          <w:b/>
          <w:bCs/>
          <w:sz w:val="36"/>
          <w:szCs w:val="36"/>
        </w:rPr>
      </w:pPr>
      <w:r>
        <w:rPr>
          <w:rFonts w:ascii="Bell MT" w:hAnsi="Bell MT"/>
          <w:b/>
          <w:bCs/>
          <w:sz w:val="36"/>
          <w:szCs w:val="36"/>
        </w:rPr>
        <w:t>ANTI-CORRUPTION POLICY</w:t>
      </w:r>
    </w:p>
    <w:p w14:paraId="02C2BABE">
      <w:pPr>
        <w:spacing w:after="0" w:line="240" w:lineRule="auto"/>
        <w:jc w:val="both"/>
      </w:pPr>
    </w:p>
    <w:p w14:paraId="0382B776">
      <w:pPr>
        <w:spacing w:after="0" w:line="240" w:lineRule="auto"/>
        <w:jc w:val="both"/>
        <w:rPr>
          <w:rFonts w:ascii="Bell MT" w:hAnsi="Bell MT"/>
          <w:b/>
          <w:bCs/>
          <w:sz w:val="32"/>
          <w:szCs w:val="32"/>
        </w:rPr>
      </w:pPr>
      <w:r>
        <w:rPr>
          <w:rFonts w:ascii="Bell MT" w:hAnsi="Bell MT"/>
          <w:b/>
          <w:bCs/>
          <w:sz w:val="32"/>
          <w:szCs w:val="32"/>
        </w:rPr>
        <w:t>1. Policy Statement</w:t>
      </w:r>
    </w:p>
    <w:p w14:paraId="48C4D255">
      <w:pPr>
        <w:spacing w:after="0" w:line="240" w:lineRule="auto"/>
        <w:jc w:val="both"/>
        <w:rPr>
          <w:rFonts w:ascii="Bell MT" w:hAnsi="Bell MT"/>
          <w:sz w:val="32"/>
          <w:szCs w:val="32"/>
        </w:rPr>
      </w:pPr>
      <w:r>
        <w:rPr>
          <w:rFonts w:ascii="Bell MT" w:hAnsi="Bell MT"/>
          <w:sz w:val="32"/>
          <w:szCs w:val="32"/>
        </w:rPr>
        <w:t>The Geospatial Intelligence Foundation of Nigeria (GIFON) is committed to the highest standards of integrity, transparency, and accountability in all its operations. Corruption in any form such as bribery, embezzlement, extortion, fraud, abuse of office are strictly prohibited. This policy provides a framework for preventing, detecting, and responding to corrupt practices.</w:t>
      </w:r>
    </w:p>
    <w:p w14:paraId="41C5D4A5">
      <w:pPr>
        <w:spacing w:after="0" w:line="240" w:lineRule="auto"/>
        <w:jc w:val="both"/>
        <w:rPr>
          <w:rFonts w:ascii="Bell MT" w:hAnsi="Bell MT"/>
          <w:sz w:val="32"/>
          <w:szCs w:val="32"/>
        </w:rPr>
      </w:pPr>
    </w:p>
    <w:p w14:paraId="5D7B9D53">
      <w:pPr>
        <w:spacing w:after="0" w:line="240" w:lineRule="auto"/>
        <w:jc w:val="both"/>
        <w:rPr>
          <w:rFonts w:ascii="Bell MT" w:hAnsi="Bell MT"/>
          <w:b/>
          <w:bCs/>
          <w:sz w:val="32"/>
          <w:szCs w:val="32"/>
        </w:rPr>
      </w:pPr>
      <w:r>
        <w:rPr>
          <w:rFonts w:ascii="Bell MT" w:hAnsi="Bell MT"/>
          <w:b/>
          <w:bCs/>
          <w:sz w:val="32"/>
          <w:szCs w:val="32"/>
        </w:rPr>
        <w:t>2. Purpose</w:t>
      </w:r>
    </w:p>
    <w:p w14:paraId="6A4F5BC1">
      <w:pPr>
        <w:spacing w:after="0" w:line="240" w:lineRule="auto"/>
        <w:jc w:val="both"/>
        <w:rPr>
          <w:rFonts w:ascii="Bell MT" w:hAnsi="Bell MT"/>
          <w:sz w:val="32"/>
          <w:szCs w:val="32"/>
        </w:rPr>
      </w:pPr>
      <w:r>
        <w:rPr>
          <w:rFonts w:ascii="Bell MT" w:hAnsi="Bell MT"/>
          <w:sz w:val="32"/>
          <w:szCs w:val="32"/>
        </w:rPr>
        <w:t>This policy aims to:</w:t>
      </w:r>
    </w:p>
    <w:p w14:paraId="017FFCD1">
      <w:pPr>
        <w:numPr>
          <w:ilvl w:val="0"/>
          <w:numId w:val="1"/>
        </w:numPr>
        <w:spacing w:after="0" w:line="240" w:lineRule="auto"/>
        <w:jc w:val="both"/>
        <w:rPr>
          <w:rFonts w:ascii="Bell MT" w:hAnsi="Bell MT"/>
          <w:sz w:val="32"/>
          <w:szCs w:val="32"/>
        </w:rPr>
      </w:pPr>
      <w:r>
        <w:rPr>
          <w:rFonts w:ascii="Bell MT" w:hAnsi="Bell MT"/>
          <w:sz w:val="32"/>
          <w:szCs w:val="32"/>
        </w:rPr>
        <w:t>Prevent corruption within GIFON’s operations, partnerships, and projects.</w:t>
      </w:r>
    </w:p>
    <w:p w14:paraId="2612A183">
      <w:pPr>
        <w:numPr>
          <w:ilvl w:val="0"/>
          <w:numId w:val="1"/>
        </w:numPr>
        <w:spacing w:after="0" w:line="240" w:lineRule="auto"/>
        <w:jc w:val="both"/>
        <w:rPr>
          <w:rFonts w:ascii="Bell MT" w:hAnsi="Bell MT"/>
          <w:sz w:val="32"/>
          <w:szCs w:val="32"/>
        </w:rPr>
      </w:pPr>
      <w:r>
        <w:rPr>
          <w:rFonts w:ascii="Bell MT" w:hAnsi="Bell MT"/>
          <w:sz w:val="32"/>
          <w:szCs w:val="32"/>
        </w:rPr>
        <w:t>Foster a culture of ethical behaviour and good governance.</w:t>
      </w:r>
    </w:p>
    <w:p w14:paraId="33CAF249">
      <w:pPr>
        <w:numPr>
          <w:ilvl w:val="0"/>
          <w:numId w:val="1"/>
        </w:numPr>
        <w:spacing w:after="0" w:line="240" w:lineRule="auto"/>
        <w:jc w:val="both"/>
        <w:rPr>
          <w:rFonts w:ascii="Bell MT" w:hAnsi="Bell MT"/>
          <w:sz w:val="32"/>
          <w:szCs w:val="32"/>
        </w:rPr>
      </w:pPr>
      <w:r>
        <w:rPr>
          <w:rFonts w:ascii="Bell MT" w:hAnsi="Bell MT"/>
          <w:sz w:val="32"/>
          <w:szCs w:val="32"/>
        </w:rPr>
        <w:t>Ensure compliance with Nigerian and international anti-corruption laws.</w:t>
      </w:r>
    </w:p>
    <w:p w14:paraId="0BBDBBBE">
      <w:pPr>
        <w:numPr>
          <w:ilvl w:val="0"/>
          <w:numId w:val="1"/>
        </w:numPr>
        <w:spacing w:after="0" w:line="240" w:lineRule="auto"/>
        <w:jc w:val="both"/>
        <w:rPr>
          <w:rFonts w:ascii="Bell MT" w:hAnsi="Bell MT"/>
          <w:sz w:val="32"/>
          <w:szCs w:val="32"/>
        </w:rPr>
      </w:pPr>
      <w:r>
        <w:rPr>
          <w:rFonts w:ascii="Bell MT" w:hAnsi="Bell MT"/>
          <w:sz w:val="32"/>
          <w:szCs w:val="32"/>
        </w:rPr>
        <w:t>Promote public confidence in GIFON's work and reputation.</w:t>
      </w:r>
    </w:p>
    <w:p w14:paraId="08D8225C">
      <w:pPr>
        <w:spacing w:after="0" w:line="240" w:lineRule="auto"/>
        <w:jc w:val="both"/>
        <w:rPr>
          <w:rFonts w:ascii="Bell MT" w:hAnsi="Bell MT"/>
          <w:sz w:val="32"/>
          <w:szCs w:val="32"/>
        </w:rPr>
      </w:pPr>
    </w:p>
    <w:p w14:paraId="66AAD356">
      <w:pPr>
        <w:spacing w:after="0" w:line="240" w:lineRule="auto"/>
        <w:jc w:val="both"/>
        <w:rPr>
          <w:rFonts w:ascii="Bell MT" w:hAnsi="Bell MT"/>
          <w:b/>
          <w:bCs/>
          <w:sz w:val="32"/>
          <w:szCs w:val="32"/>
        </w:rPr>
      </w:pPr>
      <w:r>
        <w:rPr>
          <w:rFonts w:ascii="Bell MT" w:hAnsi="Bell MT"/>
          <w:b/>
          <w:bCs/>
          <w:sz w:val="32"/>
          <w:szCs w:val="32"/>
        </w:rPr>
        <w:t>3. Scope</w:t>
      </w:r>
    </w:p>
    <w:p w14:paraId="427A7D5F">
      <w:pPr>
        <w:spacing w:after="0" w:line="240" w:lineRule="auto"/>
        <w:jc w:val="both"/>
        <w:rPr>
          <w:rFonts w:ascii="Bell MT" w:hAnsi="Bell MT"/>
          <w:sz w:val="32"/>
          <w:szCs w:val="32"/>
        </w:rPr>
      </w:pPr>
      <w:r>
        <w:rPr>
          <w:rFonts w:ascii="Bell MT" w:hAnsi="Bell MT"/>
          <w:sz w:val="32"/>
          <w:szCs w:val="32"/>
        </w:rPr>
        <w:t>This policy applies to:</w:t>
      </w:r>
    </w:p>
    <w:p w14:paraId="70286FB0">
      <w:pPr>
        <w:numPr>
          <w:ilvl w:val="0"/>
          <w:numId w:val="2"/>
        </w:numPr>
        <w:spacing w:after="0" w:line="240" w:lineRule="auto"/>
        <w:jc w:val="both"/>
        <w:rPr>
          <w:rFonts w:ascii="Bell MT" w:hAnsi="Bell MT"/>
          <w:sz w:val="32"/>
          <w:szCs w:val="32"/>
        </w:rPr>
      </w:pPr>
      <w:r>
        <w:rPr>
          <w:rFonts w:ascii="Bell MT" w:hAnsi="Bell MT"/>
          <w:sz w:val="32"/>
          <w:szCs w:val="32"/>
        </w:rPr>
        <w:t>All Trustees, Board Members, employees, consultants, interns, and volunteers of GIFON.</w:t>
      </w:r>
    </w:p>
    <w:p w14:paraId="5A51AC65">
      <w:pPr>
        <w:numPr>
          <w:ilvl w:val="0"/>
          <w:numId w:val="2"/>
        </w:numPr>
        <w:spacing w:after="0" w:line="240" w:lineRule="auto"/>
        <w:jc w:val="both"/>
        <w:rPr>
          <w:rFonts w:ascii="Bell MT" w:hAnsi="Bell MT"/>
          <w:sz w:val="32"/>
          <w:szCs w:val="32"/>
        </w:rPr>
      </w:pPr>
      <w:r>
        <w:rPr>
          <w:rFonts w:ascii="Bell MT" w:hAnsi="Bell MT"/>
          <w:sz w:val="32"/>
          <w:szCs w:val="32"/>
        </w:rPr>
        <w:t>All third parties acting on behalf of or in partnership with GIFON, including contractors, suppliers, donors, and grantees.</w:t>
      </w:r>
    </w:p>
    <w:p w14:paraId="0A4F8978">
      <w:pPr>
        <w:spacing w:after="0" w:line="240" w:lineRule="auto"/>
        <w:jc w:val="both"/>
        <w:rPr>
          <w:rFonts w:ascii="Bell MT" w:hAnsi="Bell MT"/>
          <w:sz w:val="32"/>
          <w:szCs w:val="32"/>
        </w:rPr>
      </w:pPr>
    </w:p>
    <w:p w14:paraId="28596DDA">
      <w:pPr>
        <w:spacing w:after="0" w:line="240" w:lineRule="auto"/>
        <w:jc w:val="both"/>
        <w:rPr>
          <w:rFonts w:ascii="Bell MT" w:hAnsi="Bell MT"/>
          <w:b/>
          <w:bCs/>
          <w:sz w:val="32"/>
          <w:szCs w:val="32"/>
        </w:rPr>
      </w:pPr>
      <w:r>
        <w:rPr>
          <w:rFonts w:ascii="Bell MT" w:hAnsi="Bell MT"/>
          <w:b/>
          <w:bCs/>
          <w:sz w:val="32"/>
          <w:szCs w:val="32"/>
        </w:rPr>
        <w:t>4. Legal and Regulatory Framework</w:t>
      </w:r>
    </w:p>
    <w:p w14:paraId="09D812F3">
      <w:pPr>
        <w:spacing w:after="0" w:line="240" w:lineRule="auto"/>
        <w:jc w:val="both"/>
        <w:rPr>
          <w:rFonts w:ascii="Bell MT" w:hAnsi="Bell MT"/>
          <w:sz w:val="32"/>
          <w:szCs w:val="32"/>
        </w:rPr>
      </w:pPr>
      <w:r>
        <w:rPr>
          <w:rFonts w:ascii="Bell MT" w:hAnsi="Bell MT"/>
          <w:sz w:val="32"/>
          <w:szCs w:val="32"/>
        </w:rPr>
        <w:t>This policy is guided by:</w:t>
      </w:r>
    </w:p>
    <w:p w14:paraId="415BA415">
      <w:pPr>
        <w:numPr>
          <w:ilvl w:val="0"/>
          <w:numId w:val="3"/>
        </w:numPr>
        <w:spacing w:after="0" w:line="240" w:lineRule="auto"/>
        <w:jc w:val="both"/>
        <w:rPr>
          <w:rFonts w:ascii="Bell MT" w:hAnsi="Bell MT"/>
          <w:sz w:val="32"/>
          <w:szCs w:val="32"/>
        </w:rPr>
      </w:pPr>
      <w:r>
        <w:rPr>
          <w:rFonts w:ascii="Bell MT" w:hAnsi="Bell MT"/>
          <w:sz w:val="32"/>
          <w:szCs w:val="32"/>
        </w:rPr>
        <w:t>Constitution of the Federal Republic of Nigeria (1999) As Amended</w:t>
      </w:r>
    </w:p>
    <w:p w14:paraId="73B28F1F">
      <w:pPr>
        <w:numPr>
          <w:ilvl w:val="0"/>
          <w:numId w:val="3"/>
        </w:numPr>
        <w:spacing w:after="0" w:line="240" w:lineRule="auto"/>
        <w:jc w:val="both"/>
        <w:rPr>
          <w:rFonts w:ascii="Bell MT" w:hAnsi="Bell MT"/>
          <w:sz w:val="32"/>
          <w:szCs w:val="32"/>
        </w:rPr>
      </w:pPr>
      <w:r>
        <w:rPr>
          <w:rFonts w:ascii="Bell MT" w:hAnsi="Bell MT"/>
          <w:sz w:val="32"/>
          <w:szCs w:val="32"/>
        </w:rPr>
        <w:t>Independent Corrupt Practices and Other Related Offences Act (2000)</w:t>
      </w:r>
    </w:p>
    <w:p w14:paraId="24297BC5">
      <w:pPr>
        <w:numPr>
          <w:ilvl w:val="0"/>
          <w:numId w:val="3"/>
        </w:numPr>
        <w:spacing w:after="0" w:line="240" w:lineRule="auto"/>
        <w:jc w:val="both"/>
        <w:rPr>
          <w:rFonts w:ascii="Bell MT" w:hAnsi="Bell MT"/>
          <w:sz w:val="32"/>
          <w:szCs w:val="32"/>
        </w:rPr>
      </w:pPr>
      <w:r>
        <w:rPr>
          <w:rFonts w:ascii="Bell MT" w:hAnsi="Bell MT"/>
          <w:sz w:val="32"/>
          <w:szCs w:val="32"/>
        </w:rPr>
        <w:t>Economic and Financial Crimes Commission (Establishment) Act (2004)</w:t>
      </w:r>
    </w:p>
    <w:p w14:paraId="667DF06F">
      <w:pPr>
        <w:numPr>
          <w:ilvl w:val="0"/>
          <w:numId w:val="3"/>
        </w:numPr>
        <w:spacing w:after="0" w:line="240" w:lineRule="auto"/>
        <w:jc w:val="both"/>
        <w:rPr>
          <w:rFonts w:ascii="Bell MT" w:hAnsi="Bell MT"/>
          <w:sz w:val="32"/>
          <w:szCs w:val="32"/>
        </w:rPr>
      </w:pPr>
      <w:r>
        <w:rPr>
          <w:rFonts w:ascii="Bell MT" w:hAnsi="Bell MT"/>
          <w:sz w:val="32"/>
          <w:szCs w:val="32"/>
        </w:rPr>
        <w:t>Freedom of Information Act (2011)</w:t>
      </w:r>
    </w:p>
    <w:p w14:paraId="087DB130">
      <w:pPr>
        <w:numPr>
          <w:ilvl w:val="0"/>
          <w:numId w:val="3"/>
        </w:numPr>
        <w:spacing w:after="0" w:line="240" w:lineRule="auto"/>
        <w:jc w:val="both"/>
        <w:rPr>
          <w:rFonts w:ascii="Bell MT" w:hAnsi="Bell MT"/>
          <w:sz w:val="32"/>
          <w:szCs w:val="32"/>
        </w:rPr>
      </w:pPr>
      <w:r>
        <w:rPr>
          <w:rFonts w:ascii="Bell MT" w:hAnsi="Bell MT"/>
          <w:sz w:val="32"/>
          <w:szCs w:val="32"/>
        </w:rPr>
        <w:t>United Nations Convention Against Corruption (UNCAC)</w:t>
      </w:r>
    </w:p>
    <w:p w14:paraId="59033043">
      <w:pPr>
        <w:numPr>
          <w:ilvl w:val="0"/>
          <w:numId w:val="3"/>
        </w:numPr>
        <w:spacing w:after="0" w:line="240" w:lineRule="auto"/>
        <w:jc w:val="both"/>
        <w:rPr>
          <w:rFonts w:ascii="Bell MT" w:hAnsi="Bell MT"/>
          <w:sz w:val="32"/>
          <w:szCs w:val="32"/>
        </w:rPr>
      </w:pPr>
      <w:r>
        <w:rPr>
          <w:rFonts w:ascii="Bell MT" w:hAnsi="Bell MT"/>
          <w:sz w:val="32"/>
          <w:szCs w:val="32"/>
        </w:rPr>
        <w:t>OECD Guidelines for Non-Profit Anti-Corruption Compliance</w:t>
      </w:r>
    </w:p>
    <w:p w14:paraId="6A5F7286">
      <w:pPr>
        <w:spacing w:after="0" w:line="240" w:lineRule="auto"/>
        <w:jc w:val="both"/>
        <w:rPr>
          <w:rFonts w:ascii="Bell MT" w:hAnsi="Bell MT"/>
          <w:sz w:val="32"/>
          <w:szCs w:val="32"/>
        </w:rPr>
      </w:pPr>
    </w:p>
    <w:p w14:paraId="6AB96601">
      <w:pPr>
        <w:spacing w:after="0" w:line="240" w:lineRule="auto"/>
        <w:jc w:val="both"/>
        <w:rPr>
          <w:rFonts w:ascii="Bell MT" w:hAnsi="Bell MT"/>
          <w:b/>
          <w:bCs/>
          <w:sz w:val="32"/>
          <w:szCs w:val="32"/>
        </w:rPr>
      </w:pPr>
      <w:r>
        <w:rPr>
          <w:rFonts w:ascii="Bell MT" w:hAnsi="Bell MT"/>
          <w:b/>
          <w:bCs/>
          <w:sz w:val="32"/>
          <w:szCs w:val="32"/>
        </w:rPr>
        <w:t>5. Definitions</w:t>
      </w:r>
    </w:p>
    <w:p w14:paraId="658B20B5">
      <w:pPr>
        <w:numPr>
          <w:ilvl w:val="0"/>
          <w:numId w:val="4"/>
        </w:numPr>
        <w:spacing w:after="0" w:line="240" w:lineRule="auto"/>
        <w:jc w:val="both"/>
        <w:rPr>
          <w:rFonts w:ascii="Bell MT" w:hAnsi="Bell MT"/>
          <w:sz w:val="32"/>
          <w:szCs w:val="32"/>
        </w:rPr>
      </w:pPr>
      <w:r>
        <w:rPr>
          <w:rFonts w:ascii="Bell MT" w:hAnsi="Bell MT"/>
          <w:b/>
          <w:bCs/>
          <w:sz w:val="32"/>
          <w:szCs w:val="32"/>
        </w:rPr>
        <w:t>Corruption</w:t>
      </w:r>
      <w:r>
        <w:rPr>
          <w:rFonts w:ascii="Bell MT" w:hAnsi="Bell MT"/>
          <w:sz w:val="32"/>
          <w:szCs w:val="32"/>
        </w:rPr>
        <w:t>: Abuse of entrusted power for private gain.</w:t>
      </w:r>
    </w:p>
    <w:p w14:paraId="2572B29F">
      <w:pPr>
        <w:numPr>
          <w:ilvl w:val="0"/>
          <w:numId w:val="4"/>
        </w:numPr>
        <w:spacing w:after="0" w:line="240" w:lineRule="auto"/>
        <w:jc w:val="both"/>
        <w:rPr>
          <w:rFonts w:ascii="Bell MT" w:hAnsi="Bell MT"/>
          <w:sz w:val="32"/>
          <w:szCs w:val="32"/>
        </w:rPr>
      </w:pPr>
      <w:r>
        <w:rPr>
          <w:rFonts w:ascii="Bell MT" w:hAnsi="Bell MT"/>
          <w:b/>
          <w:bCs/>
          <w:sz w:val="32"/>
          <w:szCs w:val="32"/>
        </w:rPr>
        <w:t>Bribery</w:t>
      </w:r>
      <w:r>
        <w:rPr>
          <w:rFonts w:ascii="Bell MT" w:hAnsi="Bell MT"/>
          <w:sz w:val="32"/>
          <w:szCs w:val="32"/>
        </w:rPr>
        <w:t>: Offering, giving, receiving, or soliciting of something of value to influence a decision or action.</w:t>
      </w:r>
    </w:p>
    <w:p w14:paraId="3C3B42B2">
      <w:pPr>
        <w:numPr>
          <w:ilvl w:val="0"/>
          <w:numId w:val="4"/>
        </w:numPr>
        <w:spacing w:after="0" w:line="240" w:lineRule="auto"/>
        <w:jc w:val="both"/>
        <w:rPr>
          <w:rFonts w:ascii="Bell MT" w:hAnsi="Bell MT"/>
          <w:sz w:val="32"/>
          <w:szCs w:val="32"/>
        </w:rPr>
      </w:pPr>
      <w:r>
        <w:rPr>
          <w:rFonts w:ascii="Bell MT" w:hAnsi="Bell MT"/>
          <w:b/>
          <w:bCs/>
          <w:sz w:val="32"/>
          <w:szCs w:val="32"/>
        </w:rPr>
        <w:t>Conflict of Interest</w:t>
      </w:r>
      <w:r>
        <w:rPr>
          <w:rFonts w:ascii="Bell MT" w:hAnsi="Bell MT"/>
          <w:sz w:val="32"/>
          <w:szCs w:val="32"/>
        </w:rPr>
        <w:t>: A situation where personal interest interferes with official duties.</w:t>
      </w:r>
    </w:p>
    <w:p w14:paraId="487A84B3">
      <w:pPr>
        <w:numPr>
          <w:ilvl w:val="0"/>
          <w:numId w:val="4"/>
        </w:numPr>
        <w:spacing w:after="0" w:line="240" w:lineRule="auto"/>
        <w:jc w:val="both"/>
        <w:rPr>
          <w:rFonts w:ascii="Bell MT" w:hAnsi="Bell MT"/>
          <w:sz w:val="32"/>
          <w:szCs w:val="32"/>
        </w:rPr>
      </w:pPr>
      <w:r>
        <w:rPr>
          <w:rFonts w:ascii="Bell MT" w:hAnsi="Bell MT"/>
          <w:b/>
          <w:bCs/>
          <w:sz w:val="32"/>
          <w:szCs w:val="32"/>
        </w:rPr>
        <w:t>Kickback</w:t>
      </w:r>
      <w:r>
        <w:rPr>
          <w:rFonts w:ascii="Bell MT" w:hAnsi="Bell MT"/>
          <w:sz w:val="32"/>
          <w:szCs w:val="32"/>
        </w:rPr>
        <w:t>: A secret payment or favour given in return for facilitating a business deal or transaction.</w:t>
      </w:r>
    </w:p>
    <w:p w14:paraId="1F419F4C">
      <w:pPr>
        <w:numPr>
          <w:ilvl w:val="0"/>
          <w:numId w:val="4"/>
        </w:numPr>
        <w:spacing w:after="0" w:line="240" w:lineRule="auto"/>
        <w:jc w:val="both"/>
        <w:rPr>
          <w:rFonts w:ascii="Bell MT" w:hAnsi="Bell MT"/>
          <w:sz w:val="32"/>
          <w:szCs w:val="32"/>
        </w:rPr>
      </w:pPr>
      <w:r>
        <w:rPr>
          <w:rFonts w:ascii="Bell MT" w:hAnsi="Bell MT"/>
          <w:b/>
          <w:bCs/>
          <w:sz w:val="32"/>
          <w:szCs w:val="32"/>
        </w:rPr>
        <w:t>Embezzlement</w:t>
      </w:r>
      <w:r>
        <w:rPr>
          <w:rFonts w:ascii="Bell MT" w:hAnsi="Bell MT"/>
          <w:sz w:val="32"/>
          <w:szCs w:val="32"/>
        </w:rPr>
        <w:t>: Fraudulent taking of property entrusted to one's care.</w:t>
      </w:r>
    </w:p>
    <w:p w14:paraId="3388D90A">
      <w:pPr>
        <w:spacing w:after="0" w:line="240" w:lineRule="auto"/>
        <w:jc w:val="both"/>
        <w:rPr>
          <w:rFonts w:ascii="Bell MT" w:hAnsi="Bell MT"/>
          <w:sz w:val="32"/>
          <w:szCs w:val="32"/>
        </w:rPr>
      </w:pPr>
    </w:p>
    <w:p w14:paraId="23FB117A">
      <w:pPr>
        <w:spacing w:after="0" w:line="240" w:lineRule="auto"/>
        <w:jc w:val="both"/>
        <w:rPr>
          <w:rFonts w:ascii="Bell MT" w:hAnsi="Bell MT"/>
          <w:b/>
          <w:bCs/>
          <w:sz w:val="32"/>
          <w:szCs w:val="32"/>
        </w:rPr>
      </w:pPr>
      <w:r>
        <w:rPr>
          <w:rFonts w:ascii="Bell MT" w:hAnsi="Bell MT"/>
          <w:b/>
          <w:bCs/>
          <w:sz w:val="32"/>
          <w:szCs w:val="32"/>
        </w:rPr>
        <w:t>6. Prohibited Practices</w:t>
      </w:r>
    </w:p>
    <w:p w14:paraId="71DA3BAD">
      <w:pPr>
        <w:spacing w:after="0" w:line="240" w:lineRule="auto"/>
        <w:jc w:val="both"/>
        <w:rPr>
          <w:rFonts w:ascii="Bell MT" w:hAnsi="Bell MT"/>
          <w:sz w:val="32"/>
          <w:szCs w:val="32"/>
        </w:rPr>
      </w:pPr>
      <w:r>
        <w:rPr>
          <w:rFonts w:ascii="Bell MT" w:hAnsi="Bell MT"/>
          <w:sz w:val="32"/>
          <w:szCs w:val="32"/>
        </w:rPr>
        <w:t>The following are strictly prohibited:</w:t>
      </w:r>
    </w:p>
    <w:p w14:paraId="5C304B31">
      <w:pPr>
        <w:numPr>
          <w:ilvl w:val="0"/>
          <w:numId w:val="5"/>
        </w:numPr>
        <w:spacing w:after="0" w:line="240" w:lineRule="auto"/>
        <w:jc w:val="both"/>
        <w:rPr>
          <w:rFonts w:ascii="Bell MT" w:hAnsi="Bell MT"/>
          <w:sz w:val="32"/>
          <w:szCs w:val="32"/>
        </w:rPr>
      </w:pPr>
      <w:r>
        <w:rPr>
          <w:rFonts w:ascii="Bell MT" w:hAnsi="Bell MT"/>
          <w:sz w:val="32"/>
          <w:szCs w:val="32"/>
        </w:rPr>
        <w:t>Offering, giving, or accepting bribes or kickbacks.</w:t>
      </w:r>
    </w:p>
    <w:p w14:paraId="43C16DA5">
      <w:pPr>
        <w:numPr>
          <w:ilvl w:val="0"/>
          <w:numId w:val="5"/>
        </w:numPr>
        <w:spacing w:after="0" w:line="240" w:lineRule="auto"/>
        <w:jc w:val="both"/>
        <w:rPr>
          <w:rFonts w:ascii="Bell MT" w:hAnsi="Bell MT"/>
          <w:sz w:val="32"/>
          <w:szCs w:val="32"/>
        </w:rPr>
      </w:pPr>
      <w:r>
        <w:rPr>
          <w:rFonts w:ascii="Bell MT" w:hAnsi="Bell MT"/>
          <w:sz w:val="32"/>
          <w:szCs w:val="32"/>
        </w:rPr>
        <w:t>Misuse of organizational funds or resources.</w:t>
      </w:r>
    </w:p>
    <w:p w14:paraId="6E981A6C">
      <w:pPr>
        <w:numPr>
          <w:ilvl w:val="0"/>
          <w:numId w:val="5"/>
        </w:numPr>
        <w:spacing w:after="0" w:line="240" w:lineRule="auto"/>
        <w:jc w:val="both"/>
        <w:rPr>
          <w:rFonts w:ascii="Bell MT" w:hAnsi="Bell MT"/>
          <w:sz w:val="32"/>
          <w:szCs w:val="32"/>
        </w:rPr>
      </w:pPr>
      <w:r>
        <w:rPr>
          <w:rFonts w:ascii="Bell MT" w:hAnsi="Bell MT"/>
          <w:sz w:val="32"/>
          <w:szCs w:val="32"/>
        </w:rPr>
        <w:t>Falsification of financial or operational records.</w:t>
      </w:r>
    </w:p>
    <w:p w14:paraId="5C3A8603">
      <w:pPr>
        <w:numPr>
          <w:ilvl w:val="0"/>
          <w:numId w:val="5"/>
        </w:numPr>
        <w:spacing w:after="0" w:line="240" w:lineRule="auto"/>
        <w:jc w:val="both"/>
        <w:rPr>
          <w:rFonts w:ascii="Bell MT" w:hAnsi="Bell MT"/>
          <w:sz w:val="32"/>
          <w:szCs w:val="32"/>
        </w:rPr>
      </w:pPr>
      <w:r>
        <w:rPr>
          <w:rFonts w:ascii="Bell MT" w:hAnsi="Bell MT"/>
          <w:sz w:val="32"/>
          <w:szCs w:val="32"/>
        </w:rPr>
        <w:t>Collusion with vendors or contractors to inflate prices or win tenders.</w:t>
      </w:r>
    </w:p>
    <w:p w14:paraId="4C3406C4">
      <w:pPr>
        <w:numPr>
          <w:ilvl w:val="0"/>
          <w:numId w:val="5"/>
        </w:numPr>
        <w:spacing w:after="0" w:line="240" w:lineRule="auto"/>
        <w:jc w:val="both"/>
        <w:rPr>
          <w:rFonts w:ascii="Bell MT" w:hAnsi="Bell MT"/>
          <w:sz w:val="32"/>
          <w:szCs w:val="32"/>
        </w:rPr>
      </w:pPr>
      <w:r>
        <w:rPr>
          <w:rFonts w:ascii="Bell MT" w:hAnsi="Bell MT"/>
          <w:sz w:val="32"/>
          <w:szCs w:val="32"/>
        </w:rPr>
        <w:t>Unauthorized disclosure of confidential information for personal benefit.</w:t>
      </w:r>
    </w:p>
    <w:p w14:paraId="02F479B4">
      <w:pPr>
        <w:numPr>
          <w:ilvl w:val="0"/>
          <w:numId w:val="5"/>
        </w:numPr>
        <w:spacing w:after="0" w:line="240" w:lineRule="auto"/>
        <w:jc w:val="both"/>
        <w:rPr>
          <w:rFonts w:ascii="Bell MT" w:hAnsi="Bell MT"/>
          <w:sz w:val="32"/>
          <w:szCs w:val="32"/>
        </w:rPr>
      </w:pPr>
      <w:r>
        <w:rPr>
          <w:rFonts w:ascii="Bell MT" w:hAnsi="Bell MT"/>
          <w:sz w:val="32"/>
          <w:szCs w:val="32"/>
        </w:rPr>
        <w:t>Influence peddling and nepotism in hiring or procurement.</w:t>
      </w:r>
    </w:p>
    <w:p w14:paraId="77EDA276">
      <w:pPr>
        <w:spacing w:after="0" w:line="240" w:lineRule="auto"/>
        <w:jc w:val="both"/>
        <w:rPr>
          <w:rFonts w:ascii="Bell MT" w:hAnsi="Bell MT"/>
          <w:sz w:val="32"/>
          <w:szCs w:val="32"/>
        </w:rPr>
      </w:pPr>
    </w:p>
    <w:p w14:paraId="727E9249">
      <w:pPr>
        <w:spacing w:after="0" w:line="240" w:lineRule="auto"/>
        <w:jc w:val="both"/>
        <w:rPr>
          <w:rFonts w:ascii="Bell MT" w:hAnsi="Bell MT"/>
          <w:b/>
          <w:bCs/>
          <w:sz w:val="32"/>
          <w:szCs w:val="32"/>
        </w:rPr>
      </w:pPr>
      <w:r>
        <w:rPr>
          <w:rFonts w:ascii="Bell MT" w:hAnsi="Bell MT"/>
          <w:b/>
          <w:bCs/>
          <w:sz w:val="32"/>
          <w:szCs w:val="32"/>
        </w:rPr>
        <w:t>7. Responsibilities</w:t>
      </w:r>
    </w:p>
    <w:p w14:paraId="7CBEF061">
      <w:pPr>
        <w:spacing w:after="0" w:line="240" w:lineRule="auto"/>
        <w:jc w:val="both"/>
        <w:rPr>
          <w:rFonts w:ascii="Bell MT" w:hAnsi="Bell MT"/>
          <w:b/>
          <w:bCs/>
          <w:sz w:val="32"/>
          <w:szCs w:val="32"/>
        </w:rPr>
      </w:pPr>
      <w:r>
        <w:rPr>
          <w:rFonts w:ascii="Bell MT" w:hAnsi="Bell MT"/>
          <w:b/>
          <w:bCs/>
          <w:sz w:val="32"/>
          <w:szCs w:val="32"/>
        </w:rPr>
        <w:t>7.1 Board of Trustees</w:t>
      </w:r>
    </w:p>
    <w:p w14:paraId="4418AECD">
      <w:pPr>
        <w:numPr>
          <w:ilvl w:val="0"/>
          <w:numId w:val="6"/>
        </w:numPr>
        <w:spacing w:after="0" w:line="240" w:lineRule="auto"/>
        <w:jc w:val="both"/>
        <w:rPr>
          <w:rFonts w:ascii="Bell MT" w:hAnsi="Bell MT"/>
          <w:sz w:val="32"/>
          <w:szCs w:val="32"/>
        </w:rPr>
      </w:pPr>
      <w:r>
        <w:rPr>
          <w:rFonts w:ascii="Bell MT" w:hAnsi="Bell MT"/>
          <w:sz w:val="32"/>
          <w:szCs w:val="32"/>
        </w:rPr>
        <w:t>Provide oversight and enforcement of this policy.</w:t>
      </w:r>
    </w:p>
    <w:p w14:paraId="01F6C82A">
      <w:pPr>
        <w:numPr>
          <w:ilvl w:val="0"/>
          <w:numId w:val="6"/>
        </w:numPr>
        <w:spacing w:after="0" w:line="240" w:lineRule="auto"/>
        <w:jc w:val="both"/>
        <w:rPr>
          <w:rFonts w:ascii="Bell MT" w:hAnsi="Bell MT"/>
          <w:sz w:val="32"/>
          <w:szCs w:val="32"/>
        </w:rPr>
      </w:pPr>
      <w:r>
        <w:rPr>
          <w:rFonts w:ascii="Bell MT" w:hAnsi="Bell MT"/>
          <w:sz w:val="32"/>
          <w:szCs w:val="32"/>
        </w:rPr>
        <w:t>Approve internal controls and monitor effectiveness.</w:t>
      </w:r>
    </w:p>
    <w:p w14:paraId="5ECF3227">
      <w:pPr>
        <w:spacing w:after="0" w:line="240" w:lineRule="auto"/>
        <w:jc w:val="both"/>
        <w:rPr>
          <w:rFonts w:ascii="Bell MT" w:hAnsi="Bell MT"/>
          <w:b/>
          <w:bCs/>
          <w:sz w:val="32"/>
          <w:szCs w:val="32"/>
        </w:rPr>
      </w:pPr>
    </w:p>
    <w:p w14:paraId="7369B6FD">
      <w:pPr>
        <w:spacing w:after="0" w:line="240" w:lineRule="auto"/>
        <w:jc w:val="both"/>
        <w:rPr>
          <w:rFonts w:ascii="Bell MT" w:hAnsi="Bell MT"/>
          <w:b/>
          <w:bCs/>
          <w:sz w:val="32"/>
          <w:szCs w:val="32"/>
        </w:rPr>
      </w:pPr>
      <w:r>
        <w:rPr>
          <w:rFonts w:ascii="Bell MT" w:hAnsi="Bell MT"/>
          <w:b/>
          <w:bCs/>
          <w:sz w:val="32"/>
          <w:szCs w:val="32"/>
        </w:rPr>
        <w:t>7.2 Executive Director</w:t>
      </w:r>
    </w:p>
    <w:p w14:paraId="399E0FE8">
      <w:pPr>
        <w:numPr>
          <w:ilvl w:val="0"/>
          <w:numId w:val="7"/>
        </w:numPr>
        <w:spacing w:after="0" w:line="240" w:lineRule="auto"/>
        <w:jc w:val="both"/>
        <w:rPr>
          <w:rFonts w:ascii="Bell MT" w:hAnsi="Bell MT"/>
          <w:sz w:val="32"/>
          <w:szCs w:val="32"/>
        </w:rPr>
      </w:pPr>
      <w:r>
        <w:rPr>
          <w:rFonts w:ascii="Bell MT" w:hAnsi="Bell MT"/>
          <w:sz w:val="32"/>
          <w:szCs w:val="32"/>
        </w:rPr>
        <w:t>Ensure implementation of anti-corruption measures.</w:t>
      </w:r>
    </w:p>
    <w:p w14:paraId="7FD51BC2">
      <w:pPr>
        <w:numPr>
          <w:ilvl w:val="0"/>
          <w:numId w:val="7"/>
        </w:numPr>
        <w:spacing w:after="0" w:line="240" w:lineRule="auto"/>
        <w:jc w:val="both"/>
        <w:rPr>
          <w:rFonts w:ascii="Bell MT" w:hAnsi="Bell MT"/>
          <w:sz w:val="32"/>
          <w:szCs w:val="32"/>
        </w:rPr>
      </w:pPr>
      <w:r>
        <w:rPr>
          <w:rFonts w:ascii="Bell MT" w:hAnsi="Bell MT"/>
          <w:sz w:val="32"/>
          <w:szCs w:val="32"/>
        </w:rPr>
        <w:t>Investigate reports of misconduct and take disciplinary action.</w:t>
      </w:r>
    </w:p>
    <w:p w14:paraId="03A12D35">
      <w:pPr>
        <w:spacing w:after="0" w:line="240" w:lineRule="auto"/>
        <w:jc w:val="both"/>
        <w:rPr>
          <w:rFonts w:ascii="Bell MT" w:hAnsi="Bell MT"/>
          <w:b/>
          <w:bCs/>
          <w:sz w:val="32"/>
          <w:szCs w:val="32"/>
        </w:rPr>
      </w:pPr>
    </w:p>
    <w:p w14:paraId="2D96D192">
      <w:pPr>
        <w:spacing w:after="0" w:line="240" w:lineRule="auto"/>
        <w:jc w:val="both"/>
        <w:rPr>
          <w:rFonts w:ascii="Bell MT" w:hAnsi="Bell MT"/>
          <w:b/>
          <w:bCs/>
          <w:sz w:val="32"/>
          <w:szCs w:val="32"/>
        </w:rPr>
      </w:pPr>
      <w:r>
        <w:rPr>
          <w:rFonts w:ascii="Bell MT" w:hAnsi="Bell MT"/>
          <w:b/>
          <w:bCs/>
          <w:sz w:val="32"/>
          <w:szCs w:val="32"/>
        </w:rPr>
        <w:t>7.3 Employees and Volunteers</w:t>
      </w:r>
    </w:p>
    <w:p w14:paraId="0DF29DB1">
      <w:pPr>
        <w:numPr>
          <w:ilvl w:val="0"/>
          <w:numId w:val="8"/>
        </w:numPr>
        <w:spacing w:after="0" w:line="240" w:lineRule="auto"/>
        <w:jc w:val="both"/>
        <w:rPr>
          <w:rFonts w:ascii="Bell MT" w:hAnsi="Bell MT"/>
          <w:sz w:val="32"/>
          <w:szCs w:val="32"/>
        </w:rPr>
      </w:pPr>
      <w:r>
        <w:rPr>
          <w:rFonts w:ascii="Bell MT" w:hAnsi="Bell MT"/>
          <w:sz w:val="32"/>
          <w:szCs w:val="32"/>
        </w:rPr>
        <w:t>Comply with the policy and report any suspected violations.</w:t>
      </w:r>
    </w:p>
    <w:p w14:paraId="2F984600">
      <w:pPr>
        <w:numPr>
          <w:ilvl w:val="0"/>
          <w:numId w:val="8"/>
        </w:numPr>
        <w:spacing w:after="0" w:line="240" w:lineRule="auto"/>
        <w:jc w:val="both"/>
        <w:rPr>
          <w:rFonts w:ascii="Bell MT" w:hAnsi="Bell MT"/>
          <w:sz w:val="32"/>
          <w:szCs w:val="32"/>
        </w:rPr>
      </w:pPr>
      <w:r>
        <w:rPr>
          <w:rFonts w:ascii="Bell MT" w:hAnsi="Bell MT"/>
          <w:sz w:val="32"/>
          <w:szCs w:val="32"/>
        </w:rPr>
        <w:t>Sign the Code of Conduct and Conflict of Interest Declaration.</w:t>
      </w:r>
    </w:p>
    <w:p w14:paraId="6DC59518">
      <w:pPr>
        <w:spacing w:after="0" w:line="240" w:lineRule="auto"/>
        <w:jc w:val="both"/>
        <w:rPr>
          <w:rFonts w:ascii="Bell MT" w:hAnsi="Bell MT"/>
          <w:b/>
          <w:bCs/>
          <w:sz w:val="32"/>
          <w:szCs w:val="32"/>
        </w:rPr>
      </w:pPr>
    </w:p>
    <w:p w14:paraId="7FC23866">
      <w:pPr>
        <w:spacing w:after="0" w:line="240" w:lineRule="auto"/>
        <w:jc w:val="both"/>
        <w:rPr>
          <w:rFonts w:ascii="Bell MT" w:hAnsi="Bell MT"/>
          <w:b/>
          <w:bCs/>
          <w:sz w:val="32"/>
          <w:szCs w:val="32"/>
        </w:rPr>
      </w:pPr>
      <w:r>
        <w:rPr>
          <w:rFonts w:ascii="Bell MT" w:hAnsi="Bell MT"/>
          <w:b/>
          <w:bCs/>
          <w:sz w:val="32"/>
          <w:szCs w:val="32"/>
        </w:rPr>
        <w:t>7.4 Third Parties</w:t>
      </w:r>
    </w:p>
    <w:p w14:paraId="58FAAF6B">
      <w:pPr>
        <w:numPr>
          <w:ilvl w:val="0"/>
          <w:numId w:val="9"/>
        </w:numPr>
        <w:spacing w:after="0" w:line="240" w:lineRule="auto"/>
        <w:jc w:val="both"/>
        <w:rPr>
          <w:rFonts w:ascii="Bell MT" w:hAnsi="Bell MT"/>
          <w:sz w:val="32"/>
          <w:szCs w:val="32"/>
        </w:rPr>
      </w:pPr>
      <w:r>
        <w:rPr>
          <w:rFonts w:ascii="Bell MT" w:hAnsi="Bell MT"/>
          <w:sz w:val="32"/>
          <w:szCs w:val="32"/>
        </w:rPr>
        <w:t>Must adhere to this policy as a condition of engagement.</w:t>
      </w:r>
    </w:p>
    <w:p w14:paraId="24287A35">
      <w:pPr>
        <w:numPr>
          <w:ilvl w:val="0"/>
          <w:numId w:val="9"/>
        </w:numPr>
        <w:spacing w:after="0" w:line="240" w:lineRule="auto"/>
        <w:jc w:val="both"/>
        <w:rPr>
          <w:rFonts w:ascii="Bell MT" w:hAnsi="Bell MT"/>
          <w:sz w:val="32"/>
          <w:szCs w:val="32"/>
        </w:rPr>
      </w:pPr>
      <w:r>
        <w:rPr>
          <w:rFonts w:ascii="Bell MT" w:hAnsi="Bell MT"/>
          <w:sz w:val="32"/>
          <w:szCs w:val="32"/>
        </w:rPr>
        <w:t>Contracts and MOUs must include anti-corruption clauses.</w:t>
      </w:r>
    </w:p>
    <w:p w14:paraId="3FE51108">
      <w:pPr>
        <w:spacing w:after="0" w:line="240" w:lineRule="auto"/>
        <w:jc w:val="both"/>
        <w:rPr>
          <w:rFonts w:ascii="Bell MT" w:hAnsi="Bell MT"/>
          <w:sz w:val="32"/>
          <w:szCs w:val="32"/>
        </w:rPr>
      </w:pPr>
    </w:p>
    <w:p w14:paraId="51CB2836">
      <w:pPr>
        <w:spacing w:after="0" w:line="240" w:lineRule="auto"/>
        <w:jc w:val="both"/>
        <w:rPr>
          <w:rFonts w:ascii="Bell MT" w:hAnsi="Bell MT"/>
          <w:b/>
          <w:bCs/>
          <w:sz w:val="32"/>
          <w:szCs w:val="32"/>
        </w:rPr>
      </w:pPr>
      <w:r>
        <w:rPr>
          <w:rFonts w:ascii="Bell MT" w:hAnsi="Bell MT"/>
          <w:b/>
          <w:bCs/>
          <w:sz w:val="32"/>
          <w:szCs w:val="32"/>
        </w:rPr>
        <w:t>8. Prevention Measures</w:t>
      </w:r>
    </w:p>
    <w:p w14:paraId="79D28451">
      <w:pPr>
        <w:spacing w:after="0" w:line="240" w:lineRule="auto"/>
        <w:jc w:val="both"/>
        <w:rPr>
          <w:rFonts w:ascii="Bell MT" w:hAnsi="Bell MT"/>
          <w:b/>
          <w:bCs/>
          <w:sz w:val="32"/>
          <w:szCs w:val="32"/>
        </w:rPr>
      </w:pPr>
      <w:r>
        <w:rPr>
          <w:rFonts w:ascii="Bell MT" w:hAnsi="Bell MT"/>
          <w:b/>
          <w:bCs/>
          <w:sz w:val="32"/>
          <w:szCs w:val="32"/>
        </w:rPr>
        <w:t>8.1 Due Diligence</w:t>
      </w:r>
    </w:p>
    <w:p w14:paraId="1C2B1C6D">
      <w:pPr>
        <w:numPr>
          <w:ilvl w:val="0"/>
          <w:numId w:val="10"/>
        </w:numPr>
        <w:spacing w:after="0" w:line="240" w:lineRule="auto"/>
        <w:jc w:val="both"/>
        <w:rPr>
          <w:rFonts w:ascii="Bell MT" w:hAnsi="Bell MT"/>
          <w:sz w:val="32"/>
          <w:szCs w:val="32"/>
        </w:rPr>
      </w:pPr>
      <w:r>
        <w:rPr>
          <w:rFonts w:ascii="Bell MT" w:hAnsi="Bell MT"/>
          <w:sz w:val="32"/>
          <w:szCs w:val="32"/>
        </w:rPr>
        <w:t>Background checks on vendors, partners, and major donors.</w:t>
      </w:r>
    </w:p>
    <w:p w14:paraId="3CEE44F5">
      <w:pPr>
        <w:numPr>
          <w:ilvl w:val="0"/>
          <w:numId w:val="10"/>
        </w:numPr>
        <w:spacing w:after="0" w:line="240" w:lineRule="auto"/>
        <w:jc w:val="both"/>
        <w:rPr>
          <w:rFonts w:ascii="Bell MT" w:hAnsi="Bell MT"/>
          <w:sz w:val="32"/>
          <w:szCs w:val="32"/>
        </w:rPr>
      </w:pPr>
      <w:r>
        <w:rPr>
          <w:rFonts w:ascii="Bell MT" w:hAnsi="Bell MT"/>
          <w:sz w:val="32"/>
          <w:szCs w:val="32"/>
        </w:rPr>
        <w:t>Screening of contractors and consultants before engagement.</w:t>
      </w:r>
    </w:p>
    <w:p w14:paraId="42F34595">
      <w:pPr>
        <w:spacing w:after="0" w:line="240" w:lineRule="auto"/>
        <w:jc w:val="both"/>
        <w:rPr>
          <w:rFonts w:ascii="Bell MT" w:hAnsi="Bell MT"/>
          <w:b/>
          <w:bCs/>
          <w:sz w:val="32"/>
          <w:szCs w:val="32"/>
        </w:rPr>
      </w:pPr>
    </w:p>
    <w:p w14:paraId="1BD85029">
      <w:pPr>
        <w:spacing w:after="0" w:line="240" w:lineRule="auto"/>
        <w:jc w:val="both"/>
        <w:rPr>
          <w:rFonts w:ascii="Bell MT" w:hAnsi="Bell MT"/>
          <w:b/>
          <w:bCs/>
          <w:sz w:val="32"/>
          <w:szCs w:val="32"/>
        </w:rPr>
      </w:pPr>
      <w:r>
        <w:rPr>
          <w:rFonts w:ascii="Bell MT" w:hAnsi="Bell MT"/>
          <w:b/>
          <w:bCs/>
          <w:sz w:val="32"/>
          <w:szCs w:val="32"/>
        </w:rPr>
        <w:t>8.2 Segregation of Duties</w:t>
      </w:r>
    </w:p>
    <w:p w14:paraId="5487F09D">
      <w:pPr>
        <w:numPr>
          <w:ilvl w:val="0"/>
          <w:numId w:val="11"/>
        </w:numPr>
        <w:spacing w:after="0" w:line="240" w:lineRule="auto"/>
        <w:jc w:val="both"/>
        <w:rPr>
          <w:rFonts w:ascii="Bell MT" w:hAnsi="Bell MT"/>
          <w:sz w:val="32"/>
          <w:szCs w:val="32"/>
        </w:rPr>
      </w:pPr>
      <w:r>
        <w:rPr>
          <w:rFonts w:ascii="Bell MT" w:hAnsi="Bell MT"/>
          <w:sz w:val="32"/>
          <w:szCs w:val="32"/>
        </w:rPr>
        <w:t>No individual shall have full control over procurement, approval, and payment.</w:t>
      </w:r>
    </w:p>
    <w:p w14:paraId="7E2687F4">
      <w:pPr>
        <w:numPr>
          <w:ilvl w:val="0"/>
          <w:numId w:val="11"/>
        </w:numPr>
        <w:spacing w:after="0" w:line="240" w:lineRule="auto"/>
        <w:jc w:val="both"/>
        <w:rPr>
          <w:rFonts w:ascii="Bell MT" w:hAnsi="Bell MT"/>
          <w:sz w:val="32"/>
          <w:szCs w:val="32"/>
        </w:rPr>
      </w:pPr>
      <w:r>
        <w:rPr>
          <w:rFonts w:ascii="Bell MT" w:hAnsi="Bell MT"/>
          <w:sz w:val="32"/>
          <w:szCs w:val="32"/>
        </w:rPr>
        <w:t>Dual signatory requirements for financial transactions.</w:t>
      </w:r>
    </w:p>
    <w:p w14:paraId="53017FA4">
      <w:pPr>
        <w:spacing w:after="0" w:line="240" w:lineRule="auto"/>
        <w:jc w:val="both"/>
        <w:rPr>
          <w:rFonts w:ascii="Bell MT" w:hAnsi="Bell MT"/>
          <w:b/>
          <w:bCs/>
          <w:sz w:val="32"/>
          <w:szCs w:val="32"/>
        </w:rPr>
      </w:pPr>
    </w:p>
    <w:p w14:paraId="273AA270">
      <w:pPr>
        <w:spacing w:after="0" w:line="240" w:lineRule="auto"/>
        <w:jc w:val="both"/>
        <w:rPr>
          <w:rFonts w:ascii="Bell MT" w:hAnsi="Bell MT"/>
          <w:b/>
          <w:bCs/>
          <w:sz w:val="32"/>
          <w:szCs w:val="32"/>
        </w:rPr>
      </w:pPr>
      <w:r>
        <w:rPr>
          <w:rFonts w:ascii="Bell MT" w:hAnsi="Bell MT"/>
          <w:b/>
          <w:bCs/>
          <w:sz w:val="32"/>
          <w:szCs w:val="32"/>
        </w:rPr>
        <w:t>8.3 Transparency and Disclosure</w:t>
      </w:r>
    </w:p>
    <w:p w14:paraId="0F7673D7">
      <w:pPr>
        <w:numPr>
          <w:ilvl w:val="0"/>
          <w:numId w:val="12"/>
        </w:numPr>
        <w:spacing w:after="0" w:line="240" w:lineRule="auto"/>
        <w:jc w:val="both"/>
        <w:rPr>
          <w:rFonts w:ascii="Bell MT" w:hAnsi="Bell MT"/>
          <w:sz w:val="32"/>
          <w:szCs w:val="32"/>
        </w:rPr>
      </w:pPr>
      <w:r>
        <w:rPr>
          <w:rFonts w:ascii="Bell MT" w:hAnsi="Bell MT"/>
          <w:sz w:val="32"/>
          <w:szCs w:val="32"/>
        </w:rPr>
        <w:t>All financial records shall be accurate, auditable, and publicly reportable.</w:t>
      </w:r>
    </w:p>
    <w:p w14:paraId="4E46A7B7">
      <w:pPr>
        <w:numPr>
          <w:ilvl w:val="0"/>
          <w:numId w:val="12"/>
        </w:numPr>
        <w:spacing w:after="0" w:line="240" w:lineRule="auto"/>
        <w:jc w:val="both"/>
        <w:rPr>
          <w:rFonts w:ascii="Bell MT" w:hAnsi="Bell MT"/>
          <w:sz w:val="32"/>
          <w:szCs w:val="32"/>
        </w:rPr>
      </w:pPr>
      <w:r>
        <w:rPr>
          <w:rFonts w:ascii="Bell MT" w:hAnsi="Bell MT"/>
          <w:sz w:val="32"/>
          <w:szCs w:val="32"/>
        </w:rPr>
        <w:t>Annual declarations of interests by Board and staff.</w:t>
      </w:r>
    </w:p>
    <w:p w14:paraId="0CB0D79C">
      <w:pPr>
        <w:spacing w:after="0" w:line="240" w:lineRule="auto"/>
        <w:jc w:val="both"/>
        <w:rPr>
          <w:rFonts w:ascii="Bell MT" w:hAnsi="Bell MT"/>
          <w:b/>
          <w:bCs/>
          <w:sz w:val="32"/>
          <w:szCs w:val="32"/>
        </w:rPr>
      </w:pPr>
    </w:p>
    <w:p w14:paraId="079D028F">
      <w:pPr>
        <w:spacing w:after="0" w:line="240" w:lineRule="auto"/>
        <w:jc w:val="both"/>
        <w:rPr>
          <w:rFonts w:ascii="Bell MT" w:hAnsi="Bell MT"/>
          <w:b/>
          <w:bCs/>
          <w:sz w:val="32"/>
          <w:szCs w:val="32"/>
        </w:rPr>
      </w:pPr>
      <w:r>
        <w:rPr>
          <w:rFonts w:ascii="Bell MT" w:hAnsi="Bell MT"/>
          <w:b/>
          <w:bCs/>
          <w:sz w:val="32"/>
          <w:szCs w:val="32"/>
        </w:rPr>
        <w:t>8.4 Capacity Building</w:t>
      </w:r>
    </w:p>
    <w:p w14:paraId="2D77CAB8">
      <w:pPr>
        <w:numPr>
          <w:ilvl w:val="0"/>
          <w:numId w:val="13"/>
        </w:numPr>
        <w:spacing w:after="0" w:line="240" w:lineRule="auto"/>
        <w:jc w:val="both"/>
        <w:rPr>
          <w:rFonts w:ascii="Bell MT" w:hAnsi="Bell MT"/>
          <w:sz w:val="32"/>
          <w:szCs w:val="32"/>
        </w:rPr>
      </w:pPr>
      <w:r>
        <w:rPr>
          <w:rFonts w:ascii="Bell MT" w:hAnsi="Bell MT"/>
          <w:sz w:val="32"/>
          <w:szCs w:val="32"/>
        </w:rPr>
        <w:t>Regular anti-corruption training and awareness for all personnel.</w:t>
      </w:r>
    </w:p>
    <w:p w14:paraId="67A8B31B">
      <w:pPr>
        <w:numPr>
          <w:ilvl w:val="0"/>
          <w:numId w:val="13"/>
        </w:numPr>
        <w:spacing w:after="0" w:line="240" w:lineRule="auto"/>
        <w:jc w:val="both"/>
        <w:rPr>
          <w:rFonts w:ascii="Bell MT" w:hAnsi="Bell MT"/>
          <w:sz w:val="32"/>
          <w:szCs w:val="32"/>
        </w:rPr>
      </w:pPr>
      <w:r>
        <w:rPr>
          <w:rFonts w:ascii="Bell MT" w:hAnsi="Bell MT"/>
          <w:sz w:val="32"/>
          <w:szCs w:val="32"/>
        </w:rPr>
        <w:t>Induction training for new staff on integrity policies.</w:t>
      </w:r>
    </w:p>
    <w:p w14:paraId="4DEC10D6">
      <w:pPr>
        <w:spacing w:after="0" w:line="240" w:lineRule="auto"/>
        <w:jc w:val="both"/>
        <w:rPr>
          <w:rFonts w:ascii="Bell MT" w:hAnsi="Bell MT"/>
          <w:sz w:val="32"/>
          <w:szCs w:val="32"/>
        </w:rPr>
      </w:pPr>
    </w:p>
    <w:p w14:paraId="744ECF82">
      <w:pPr>
        <w:spacing w:after="0" w:line="240" w:lineRule="auto"/>
        <w:jc w:val="both"/>
        <w:rPr>
          <w:rFonts w:ascii="Bell MT" w:hAnsi="Bell MT"/>
          <w:b/>
          <w:bCs/>
          <w:sz w:val="32"/>
          <w:szCs w:val="32"/>
        </w:rPr>
      </w:pPr>
      <w:r>
        <w:rPr>
          <w:rFonts w:ascii="Bell MT" w:hAnsi="Bell MT"/>
          <w:b/>
          <w:bCs/>
          <w:sz w:val="32"/>
          <w:szCs w:val="32"/>
        </w:rPr>
        <w:t>9. Whistleblower Protection</w:t>
      </w:r>
    </w:p>
    <w:p w14:paraId="0E7BB267">
      <w:pPr>
        <w:spacing w:after="0" w:line="240" w:lineRule="auto"/>
        <w:jc w:val="both"/>
        <w:rPr>
          <w:rFonts w:ascii="Bell MT" w:hAnsi="Bell MT"/>
          <w:sz w:val="32"/>
          <w:szCs w:val="32"/>
        </w:rPr>
      </w:pPr>
      <w:r>
        <w:rPr>
          <w:rFonts w:ascii="Bell MT" w:hAnsi="Bell MT"/>
          <w:sz w:val="32"/>
          <w:szCs w:val="32"/>
        </w:rPr>
        <w:t>GIFON encourages the reporting of suspected corruption. Whistleblowers will be protected from retaliation under the Whistleblower Protection Policy.</w:t>
      </w:r>
    </w:p>
    <w:p w14:paraId="3FCDE115">
      <w:pPr>
        <w:spacing w:after="0" w:line="240" w:lineRule="auto"/>
        <w:jc w:val="both"/>
        <w:rPr>
          <w:rFonts w:ascii="Bell MT" w:hAnsi="Bell MT"/>
          <w:b/>
          <w:bCs/>
          <w:sz w:val="32"/>
          <w:szCs w:val="32"/>
        </w:rPr>
      </w:pPr>
    </w:p>
    <w:p w14:paraId="14283B5B">
      <w:pPr>
        <w:spacing w:after="0" w:line="240" w:lineRule="auto"/>
        <w:jc w:val="both"/>
        <w:rPr>
          <w:rFonts w:ascii="Bell MT" w:hAnsi="Bell MT"/>
          <w:b/>
          <w:bCs/>
          <w:sz w:val="32"/>
          <w:szCs w:val="32"/>
        </w:rPr>
      </w:pPr>
      <w:r>
        <w:rPr>
          <w:rFonts w:ascii="Bell MT" w:hAnsi="Bell MT"/>
          <w:b/>
          <w:bCs/>
          <w:sz w:val="32"/>
          <w:szCs w:val="32"/>
        </w:rPr>
        <w:t>10. Investigation and Disciplinary Action</w:t>
      </w:r>
    </w:p>
    <w:p w14:paraId="6679DAE3">
      <w:pPr>
        <w:numPr>
          <w:ilvl w:val="0"/>
          <w:numId w:val="14"/>
        </w:numPr>
        <w:spacing w:after="0" w:line="240" w:lineRule="auto"/>
        <w:jc w:val="both"/>
        <w:rPr>
          <w:rFonts w:ascii="Bell MT" w:hAnsi="Bell MT"/>
          <w:sz w:val="32"/>
          <w:szCs w:val="32"/>
        </w:rPr>
      </w:pPr>
      <w:r>
        <w:rPr>
          <w:rFonts w:ascii="Bell MT" w:hAnsi="Bell MT"/>
          <w:sz w:val="32"/>
          <w:szCs w:val="32"/>
        </w:rPr>
        <w:t>All allegations of corruption shall be investigated by the Internal Audit/Compliance Unit.</w:t>
      </w:r>
    </w:p>
    <w:p w14:paraId="6BCF2595">
      <w:pPr>
        <w:numPr>
          <w:ilvl w:val="0"/>
          <w:numId w:val="14"/>
        </w:numPr>
        <w:spacing w:after="0" w:line="240" w:lineRule="auto"/>
        <w:jc w:val="both"/>
        <w:rPr>
          <w:rFonts w:ascii="Bell MT" w:hAnsi="Bell MT"/>
          <w:sz w:val="32"/>
          <w:szCs w:val="32"/>
        </w:rPr>
      </w:pPr>
      <w:r>
        <w:rPr>
          <w:rFonts w:ascii="Bell MT" w:hAnsi="Bell MT"/>
          <w:sz w:val="32"/>
          <w:szCs w:val="32"/>
        </w:rPr>
        <w:t>If confirmed, disciplinary measures may include warning, dismissal, blacklisting, legal action, and recovery of funds.</w:t>
      </w:r>
    </w:p>
    <w:p w14:paraId="04E1AD48">
      <w:pPr>
        <w:numPr>
          <w:ilvl w:val="0"/>
          <w:numId w:val="14"/>
        </w:numPr>
        <w:spacing w:after="0" w:line="240" w:lineRule="auto"/>
        <w:jc w:val="both"/>
        <w:rPr>
          <w:rFonts w:ascii="Bell MT" w:hAnsi="Bell MT"/>
          <w:sz w:val="32"/>
          <w:szCs w:val="32"/>
        </w:rPr>
      </w:pPr>
      <w:r>
        <w:rPr>
          <w:rFonts w:ascii="Bell MT" w:hAnsi="Bell MT"/>
          <w:sz w:val="32"/>
          <w:szCs w:val="32"/>
        </w:rPr>
        <w:t>Where necessary, cases may be reported to law enforcement (EFCC, ICPC).</w:t>
      </w:r>
    </w:p>
    <w:p w14:paraId="37ED76B7">
      <w:pPr>
        <w:spacing w:after="0" w:line="240" w:lineRule="auto"/>
        <w:jc w:val="both"/>
        <w:rPr>
          <w:rFonts w:ascii="Bell MT" w:hAnsi="Bell MT"/>
          <w:sz w:val="32"/>
          <w:szCs w:val="32"/>
        </w:rPr>
      </w:pPr>
    </w:p>
    <w:p w14:paraId="37D36245">
      <w:pPr>
        <w:spacing w:after="0" w:line="240" w:lineRule="auto"/>
        <w:jc w:val="both"/>
        <w:rPr>
          <w:rFonts w:ascii="Bell MT" w:hAnsi="Bell MT"/>
          <w:sz w:val="32"/>
          <w:szCs w:val="32"/>
        </w:rPr>
      </w:pPr>
    </w:p>
    <w:p w14:paraId="76EE3673">
      <w:pPr>
        <w:spacing w:after="0" w:line="240" w:lineRule="auto"/>
        <w:jc w:val="both"/>
        <w:rPr>
          <w:rFonts w:ascii="Bell MT" w:hAnsi="Bell MT"/>
          <w:b/>
          <w:bCs/>
          <w:sz w:val="32"/>
          <w:szCs w:val="32"/>
        </w:rPr>
      </w:pPr>
      <w:r>
        <w:rPr>
          <w:rFonts w:ascii="Bell MT" w:hAnsi="Bell MT"/>
          <w:b/>
          <w:bCs/>
          <w:sz w:val="32"/>
          <w:szCs w:val="32"/>
        </w:rPr>
        <w:t>11. Monitoring and Review</w:t>
      </w:r>
    </w:p>
    <w:p w14:paraId="2BABC0F5">
      <w:pPr>
        <w:numPr>
          <w:ilvl w:val="0"/>
          <w:numId w:val="15"/>
        </w:numPr>
        <w:spacing w:after="0" w:line="240" w:lineRule="auto"/>
        <w:jc w:val="both"/>
        <w:rPr>
          <w:rFonts w:ascii="Bell MT" w:hAnsi="Bell MT"/>
          <w:sz w:val="32"/>
          <w:szCs w:val="32"/>
        </w:rPr>
      </w:pPr>
      <w:r>
        <w:rPr>
          <w:rFonts w:ascii="Bell MT" w:hAnsi="Bell MT"/>
          <w:sz w:val="32"/>
          <w:szCs w:val="32"/>
        </w:rPr>
        <w:t>The Compliance Officer will monitor policy implementation and report to the Board quarterly.</w:t>
      </w:r>
    </w:p>
    <w:p w14:paraId="77162F1F">
      <w:pPr>
        <w:numPr>
          <w:ilvl w:val="0"/>
          <w:numId w:val="15"/>
        </w:numPr>
        <w:spacing w:after="0" w:line="240" w:lineRule="auto"/>
        <w:jc w:val="both"/>
        <w:rPr>
          <w:rFonts w:ascii="Bell MT" w:hAnsi="Bell MT"/>
          <w:sz w:val="32"/>
          <w:szCs w:val="32"/>
        </w:rPr>
      </w:pPr>
      <w:r>
        <w:rPr>
          <w:rFonts w:ascii="Bell MT" w:hAnsi="Bell MT"/>
          <w:sz w:val="32"/>
          <w:szCs w:val="32"/>
        </w:rPr>
        <w:t>Annual risk assessments shall be conducted to identify vulnerabilities.</w:t>
      </w:r>
    </w:p>
    <w:p w14:paraId="291ABA57">
      <w:pPr>
        <w:numPr>
          <w:ilvl w:val="0"/>
          <w:numId w:val="15"/>
        </w:numPr>
        <w:spacing w:after="0" w:line="240" w:lineRule="auto"/>
        <w:jc w:val="both"/>
        <w:rPr>
          <w:rFonts w:ascii="Bell MT" w:hAnsi="Bell MT"/>
          <w:sz w:val="32"/>
          <w:szCs w:val="32"/>
        </w:rPr>
      </w:pPr>
      <w:r>
        <w:rPr>
          <w:rFonts w:ascii="Bell MT" w:hAnsi="Bell MT"/>
          <w:sz w:val="32"/>
          <w:szCs w:val="32"/>
        </w:rPr>
        <w:t>This policy shall be reviewed every two years or in response to legislative changes.</w:t>
      </w:r>
    </w:p>
    <w:p w14:paraId="016B5BAC">
      <w:pPr>
        <w:spacing w:after="0" w:line="240" w:lineRule="auto"/>
        <w:jc w:val="both"/>
        <w:rPr>
          <w:rFonts w:ascii="Bell MT" w:hAnsi="Bell MT"/>
          <w:sz w:val="32"/>
          <w:szCs w:val="32"/>
        </w:rPr>
      </w:pPr>
    </w:p>
    <w:p w14:paraId="0EA89494">
      <w:pPr>
        <w:spacing w:after="0" w:line="240" w:lineRule="auto"/>
        <w:jc w:val="both"/>
        <w:rPr>
          <w:rFonts w:ascii="Bell MT" w:hAnsi="Bell MT"/>
          <w:b/>
          <w:bCs/>
          <w:sz w:val="32"/>
          <w:szCs w:val="32"/>
        </w:rPr>
      </w:pPr>
      <w:r>
        <w:rPr>
          <w:rFonts w:ascii="Bell MT" w:hAnsi="Bell MT"/>
          <w:b/>
          <w:bCs/>
          <w:sz w:val="32"/>
          <w:szCs w:val="32"/>
        </w:rPr>
        <w:t>12. Compliance Certification</w:t>
      </w:r>
    </w:p>
    <w:p w14:paraId="7458A2FE">
      <w:pPr>
        <w:spacing w:after="0" w:line="240" w:lineRule="auto"/>
        <w:jc w:val="both"/>
        <w:rPr>
          <w:rFonts w:ascii="Bell MT" w:hAnsi="Bell MT"/>
          <w:sz w:val="32"/>
          <w:szCs w:val="32"/>
        </w:rPr>
      </w:pPr>
      <w:r>
        <w:rPr>
          <w:rFonts w:ascii="Bell MT" w:hAnsi="Bell MT"/>
          <w:sz w:val="32"/>
          <w:szCs w:val="32"/>
        </w:rPr>
        <w:t>All GIFON personnel and partners must sign the following annually:</w:t>
      </w:r>
    </w:p>
    <w:p w14:paraId="0771DC95">
      <w:pPr>
        <w:numPr>
          <w:ilvl w:val="0"/>
          <w:numId w:val="16"/>
        </w:numPr>
        <w:spacing w:after="0" w:line="240" w:lineRule="auto"/>
        <w:jc w:val="both"/>
        <w:rPr>
          <w:rFonts w:ascii="Bell MT" w:hAnsi="Bell MT"/>
          <w:sz w:val="32"/>
          <w:szCs w:val="32"/>
        </w:rPr>
      </w:pPr>
      <w:r>
        <w:rPr>
          <w:rFonts w:ascii="Bell MT" w:hAnsi="Bell MT"/>
          <w:sz w:val="32"/>
          <w:szCs w:val="32"/>
        </w:rPr>
        <w:t>Anti-Corruption Policy Acknowledgment</w:t>
      </w:r>
    </w:p>
    <w:p w14:paraId="3627E405">
      <w:pPr>
        <w:numPr>
          <w:ilvl w:val="0"/>
          <w:numId w:val="16"/>
        </w:numPr>
        <w:spacing w:after="0" w:line="240" w:lineRule="auto"/>
        <w:jc w:val="both"/>
        <w:rPr>
          <w:rFonts w:ascii="Bell MT" w:hAnsi="Bell MT"/>
          <w:sz w:val="32"/>
          <w:szCs w:val="32"/>
        </w:rPr>
      </w:pPr>
      <w:r>
        <w:rPr>
          <w:rFonts w:ascii="Bell MT" w:hAnsi="Bell MT"/>
          <w:sz w:val="32"/>
          <w:szCs w:val="32"/>
        </w:rPr>
        <w:t>Code of Conduct</w:t>
      </w:r>
    </w:p>
    <w:p w14:paraId="33636DE2">
      <w:pPr>
        <w:numPr>
          <w:ilvl w:val="0"/>
          <w:numId w:val="16"/>
        </w:numPr>
        <w:spacing w:after="0" w:line="240" w:lineRule="auto"/>
        <w:jc w:val="both"/>
        <w:rPr>
          <w:rFonts w:ascii="Bell MT" w:hAnsi="Bell MT"/>
          <w:sz w:val="32"/>
          <w:szCs w:val="32"/>
        </w:rPr>
      </w:pPr>
      <w:r>
        <w:rPr>
          <w:rFonts w:ascii="Bell MT" w:hAnsi="Bell MT"/>
          <w:sz w:val="32"/>
          <w:szCs w:val="32"/>
        </w:rPr>
        <w:t>Conflict of Interest Declaration</w:t>
      </w:r>
    </w:p>
    <w:p w14:paraId="087B3752">
      <w:pPr>
        <w:spacing w:after="0" w:line="240" w:lineRule="auto"/>
        <w:jc w:val="both"/>
        <w:rPr>
          <w:rFonts w:ascii="Bell MT" w:hAnsi="Bell MT"/>
          <w:sz w:val="32"/>
          <w:szCs w:val="32"/>
        </w:rPr>
      </w:pPr>
      <w:r>
        <w:rPr>
          <w:rFonts w:ascii="Bell MT" w:hAnsi="Bell MT"/>
          <w:sz w:val="32"/>
          <w:szCs w:val="32"/>
        </w:rPr>
        <w:t>Failure to sign or comply may result in disengagement.</w:t>
      </w:r>
    </w:p>
    <w:p w14:paraId="7A05EB73">
      <w:pPr>
        <w:spacing w:after="0" w:line="240" w:lineRule="auto"/>
        <w:jc w:val="both"/>
        <w:rPr>
          <w:rFonts w:ascii="Bell MT" w:hAnsi="Bell MT"/>
          <w:sz w:val="32"/>
          <w:szCs w:val="32"/>
        </w:rPr>
      </w:pPr>
    </w:p>
    <w:p w14:paraId="5026907D">
      <w:pPr>
        <w:spacing w:after="0" w:line="240" w:lineRule="auto"/>
        <w:jc w:val="both"/>
        <w:rPr>
          <w:rFonts w:ascii="Bell MT" w:hAnsi="Bell MT"/>
          <w:b/>
          <w:bCs/>
          <w:sz w:val="32"/>
          <w:szCs w:val="32"/>
        </w:rPr>
      </w:pPr>
      <w:r>
        <w:rPr>
          <w:rFonts w:ascii="Bell MT" w:hAnsi="Bell MT"/>
          <w:b/>
          <w:bCs/>
          <w:sz w:val="32"/>
          <w:szCs w:val="32"/>
        </w:rPr>
        <w:t>13. Related Policies and Documents</w:t>
      </w:r>
    </w:p>
    <w:p w14:paraId="7281F309">
      <w:pPr>
        <w:numPr>
          <w:ilvl w:val="0"/>
          <w:numId w:val="17"/>
        </w:numPr>
        <w:spacing w:after="0" w:line="240" w:lineRule="auto"/>
        <w:jc w:val="both"/>
        <w:rPr>
          <w:rFonts w:ascii="Bell MT" w:hAnsi="Bell MT"/>
          <w:sz w:val="32"/>
          <w:szCs w:val="32"/>
        </w:rPr>
      </w:pPr>
      <w:r>
        <w:rPr>
          <w:rFonts w:ascii="Bell MT" w:hAnsi="Bell MT"/>
          <w:sz w:val="32"/>
          <w:szCs w:val="32"/>
        </w:rPr>
        <w:t>Financial Management Policy</w:t>
      </w:r>
    </w:p>
    <w:p w14:paraId="7E55821F">
      <w:pPr>
        <w:numPr>
          <w:ilvl w:val="0"/>
          <w:numId w:val="17"/>
        </w:numPr>
        <w:spacing w:after="0" w:line="240" w:lineRule="auto"/>
        <w:jc w:val="both"/>
        <w:rPr>
          <w:rFonts w:ascii="Bell MT" w:hAnsi="Bell MT"/>
          <w:sz w:val="32"/>
          <w:szCs w:val="32"/>
        </w:rPr>
      </w:pPr>
      <w:r>
        <w:rPr>
          <w:rFonts w:ascii="Bell MT" w:hAnsi="Bell MT"/>
          <w:sz w:val="32"/>
          <w:szCs w:val="32"/>
        </w:rPr>
        <w:t>Procurement Policy</w:t>
      </w:r>
    </w:p>
    <w:p w14:paraId="316DE828">
      <w:pPr>
        <w:numPr>
          <w:ilvl w:val="0"/>
          <w:numId w:val="17"/>
        </w:numPr>
        <w:spacing w:after="0" w:line="240" w:lineRule="auto"/>
        <w:jc w:val="both"/>
        <w:rPr>
          <w:rFonts w:ascii="Bell MT" w:hAnsi="Bell MT"/>
          <w:sz w:val="32"/>
          <w:szCs w:val="32"/>
        </w:rPr>
      </w:pPr>
      <w:r>
        <w:rPr>
          <w:rFonts w:ascii="Bell MT" w:hAnsi="Bell MT"/>
          <w:sz w:val="32"/>
          <w:szCs w:val="32"/>
        </w:rPr>
        <w:t>Conflict of Interest Policy</w:t>
      </w:r>
    </w:p>
    <w:p w14:paraId="60701AF9">
      <w:pPr>
        <w:numPr>
          <w:ilvl w:val="0"/>
          <w:numId w:val="17"/>
        </w:numPr>
        <w:spacing w:after="0" w:line="240" w:lineRule="auto"/>
        <w:jc w:val="both"/>
        <w:rPr>
          <w:rFonts w:ascii="Bell MT" w:hAnsi="Bell MT"/>
          <w:sz w:val="32"/>
          <w:szCs w:val="32"/>
        </w:rPr>
      </w:pPr>
      <w:r>
        <w:rPr>
          <w:rFonts w:ascii="Bell MT" w:hAnsi="Bell MT"/>
          <w:sz w:val="32"/>
          <w:szCs w:val="32"/>
        </w:rPr>
        <w:t>Whistleblower Protection Policy</w:t>
      </w:r>
    </w:p>
    <w:p w14:paraId="47C7B77F">
      <w:pPr>
        <w:numPr>
          <w:ilvl w:val="0"/>
          <w:numId w:val="17"/>
        </w:numPr>
        <w:spacing w:after="0" w:line="240" w:lineRule="auto"/>
        <w:jc w:val="both"/>
        <w:rPr>
          <w:rFonts w:ascii="Bell MT" w:hAnsi="Bell MT"/>
          <w:sz w:val="32"/>
          <w:szCs w:val="32"/>
        </w:rPr>
      </w:pPr>
      <w:r>
        <w:rPr>
          <w:rFonts w:ascii="Bell MT" w:hAnsi="Bell MT"/>
          <w:sz w:val="32"/>
          <w:szCs w:val="32"/>
        </w:rPr>
        <w:t>Code of Ethics and Professional Conduct</w:t>
      </w:r>
    </w:p>
    <w:p w14:paraId="53D75256">
      <w:pPr>
        <w:spacing w:after="0" w:line="240" w:lineRule="auto"/>
        <w:jc w:val="both"/>
        <w:rPr>
          <w:rFonts w:ascii="Bell MT" w:hAnsi="Bell MT"/>
          <w:sz w:val="32"/>
          <w:szCs w:val="32"/>
        </w:rPr>
      </w:pPr>
    </w:p>
    <w:p w14:paraId="50A906B0">
      <w:pPr>
        <w:spacing w:after="0" w:line="240" w:lineRule="auto"/>
        <w:jc w:val="both"/>
        <w:rPr>
          <w:rFonts w:ascii="Bell MT" w:hAnsi="Bell MT"/>
          <w:sz w:val="32"/>
          <w:szCs w:val="32"/>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Bell MT">
    <w:altName w:val="苹方-简"/>
    <w:panose1 w:val="02020503060305020303"/>
    <w:charset w:val="00"/>
    <w:family w:val="roman"/>
    <w:pitch w:val="default"/>
    <w:sig w:usb0="00000000"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77FE2B4F">
        <w:pPr>
          <w:pStyle w:val="13"/>
          <w:jc w:val="center"/>
        </w:pPr>
        <w:r>
          <mc:AlternateContent>
            <mc:Choice Requires="wps">
              <w:drawing>
                <wp:inline distT="0" distB="0" distL="0" distR="0">
                  <wp:extent cx="5467350" cy="54610"/>
                  <wp:effectExtent l="9525" t="19050" r="9525" b="12065"/>
                  <wp:docPr id="1628803751" name="Flowchart: Decision 1"/>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inline>
              </w:drawing>
            </mc:Choice>
            <mc:Fallback>
              <w:pict>
                <v:shape id="Flowchart: Decision 1" o:spid="_x0000_s1026" o:spt="110" type="#_x0000_t110" style="height:4.3pt;width:430.5pt;" fillcolor="#000000" filled="t" stroked="t" coordsize="21600,21600" o:gfxdata="UEsDBAoAAAAAAIdO4kAAAAAAAAAAAAAAAAAEAAAAZHJzL1BLAwQUAAAACACHTuJAaYmDodIAAAAD&#10;AQAADwAAAGRycy9kb3ducmV2LnhtbE2PMU/DQAyFdyT+w8mV2OglDFEJuXRARbAgQaCwujk3CeR8&#10;Ue6alv76uiywWH561vP3iuXB9WqiMXSeDaTzBBRx7W3HjYH3t4frBagQkS32nsnADwVYlpcXBebW&#10;7/mVpio2SkI45GigjXHItQ51Sw7D3A/E4m396DCKHBttR9xLuOv1TZJk2mHH8qHFge5bqr+rnTMw&#10;ZB+PT9uXz3VTTTSFr9Xt+pg9G3M1S5M7UJEO8e8YzviCDqUwbfyObVC9ASkSf6d4iywVuTkvoMtC&#10;/2cvT1BLAwQUAAAACACHTuJA0HAOxDUCAACRBAAADgAAAGRycy9lMm9Eb2MueG1srVTBbtswDL0P&#10;2D8Iui+O0yRNjThFkSDDgG4t0O0DFFmOhUmiRilxuq8fLSdZ2l1ymA+GaIqPfI+k5/cHa9heYdDg&#10;Sp4PhpwpJ6HSblvyH9/Xn2achShcJQw4VfJXFfj94uOHeesLNYIGTKWQEYgLRetL3sToiywLslFW&#10;hAF45chZA1oRycRtVqFoCd2abDQcTrMWsPIIUoVAX1e9kx8R8RpAqGst1QrkzioXe1RURkSiFBrt&#10;A1+kautayfhU10FFZkpOTGN6UxI6b7p3tpiLYovCN1oeSxDXlPCOkxXaUdIz1EpEwXao/4GyWiIE&#10;qONAgs16IkkRYpEP32nz0givEheSOviz6OH/wcpv+2dkuqJJmI5ms+HN7STnzAlLnV8baGUjMBZs&#10;paTuBoblnWKtDwUFvvhn7DgH/wjyZ2AOlo1wW/WACG2jREV1pvvZm4DOCBTKNu1XqCiP2EVI4h1q&#10;tB0gycIOqUev5x6pQ2SSPk7G09ubCbVPko+MPPUwE8Up2GOInxVY1h1KXhMJKgvjiULKJPaPIRIT&#10;ijvdT0zA6GqtjUkGbjdLg2wvutlJT0eeQsLlNeNYW/K7yWiSkN/4wnUQVkdaKaNtyWeXeYyjdCe5&#10;etk3UL2SdAj9JNMe06EB/M1ZS1Nc8vBrJ1BxZr44kv8uH4+7sU/GeHI7IgMvPZtLj3CSoEoeOeuP&#10;y9ivys6j3jaUKU8cHTxQy2qdFOzq66s6FkuTmlQ6blW3Cpd2uvX3T7L4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mJg6HSAAAAAwEAAA8AAAAAAAAAAQAgAAAAIgAAAGRycy9kb3ducmV2LnhtbFBL&#10;AQIUABQAAAAIAIdO4kDQcA7ENQIAAJEEAAAOAAAAAAAAAAEAIAAAACEBAABkcnMvZTJvRG9jLnht&#10;bFBLBQYAAAAABgAGAFkBAADIBQAAAAA=&#10;">
                  <v:fill on="t" focussize="0,0"/>
                  <v:stroke color="#000000" miterlimit="8" joinstyle="miter"/>
                  <v:imagedata o:title=""/>
                  <o:lock v:ext="edit" aspectratio="f"/>
                  <w10:wrap type="none"/>
                  <w10:anchorlock/>
                </v:shape>
              </w:pict>
            </mc:Fallback>
          </mc:AlternateContent>
        </w:r>
      </w:p>
      <w:p w14:paraId="6CD06484">
        <w:pPr>
          <w:pStyle w:val="13"/>
          <w:jc w:val="center"/>
        </w:pPr>
        <w:r>
          <w:fldChar w:fldCharType="begin"/>
        </w:r>
        <w:r>
          <w:instrText xml:space="preserve"> PAGE    \* MERGEFORMAT </w:instrText>
        </w:r>
        <w:r>
          <w:fldChar w:fldCharType="separate"/>
        </w:r>
        <w:r>
          <w:t>2</w:t>
        </w:r>
        <w:r>
          <w:fldChar w:fldCharType="end"/>
        </w:r>
      </w:p>
    </w:sdtContent>
  </w:sdt>
  <w:p w14:paraId="19CDA657">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19240">
    <w:pPr>
      <w:pStyle w:val="14"/>
      <w:rPr>
        <w:rFonts w:hint="default"/>
        <w:lang w:val="en-US"/>
      </w:rPr>
    </w:pPr>
    <w:r>
      <w:rPr>
        <w:rFonts w:hint="default"/>
        <w:lang w:val="en-US"/>
      </w:rPr>
      <w:drawing>
        <wp:inline distT="0" distB="0" distL="114300" distR="114300">
          <wp:extent cx="5588000" cy="1676400"/>
          <wp:effectExtent l="0" t="0" r="0" b="0"/>
          <wp:docPr id="2" name="Picture 2" descr="Screenshot 2025-11-10 at 09.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10 at 09.52.28"/>
                  <pic:cNvPicPr>
                    <a:picLocks noChangeAspect="1"/>
                  </pic:cNvPicPr>
                </pic:nvPicPr>
                <pic:blipFill>
                  <a:blip r:embed="rId1"/>
                  <a:stretch>
                    <a:fillRect/>
                  </a:stretch>
                </pic:blipFill>
                <pic:spPr>
                  <a:xfrm>
                    <a:off x="0" y="0"/>
                    <a:ext cx="5588000" cy="1676400"/>
                  </a:xfrm>
                  <a:prstGeom prst="rect">
                    <a:avLst/>
                  </a:prstGeom>
                </pic:spPr>
              </pic:pic>
            </a:graphicData>
          </a:graphic>
        </wp:inline>
      </w:drawing>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F06AD6"/>
    <w:multiLevelType w:val="multilevel"/>
    <w:tmpl w:val="0DF06A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A663319"/>
    <w:multiLevelType w:val="multilevel"/>
    <w:tmpl w:val="2A6633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B594328"/>
    <w:multiLevelType w:val="multilevel"/>
    <w:tmpl w:val="2B5943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450DC9"/>
    <w:multiLevelType w:val="multilevel"/>
    <w:tmpl w:val="2C450D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D583870"/>
    <w:multiLevelType w:val="multilevel"/>
    <w:tmpl w:val="2D583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34F2D0E"/>
    <w:multiLevelType w:val="multilevel"/>
    <w:tmpl w:val="334F2D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3D537DD"/>
    <w:multiLevelType w:val="multilevel"/>
    <w:tmpl w:val="33D53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667435A"/>
    <w:multiLevelType w:val="multilevel"/>
    <w:tmpl w:val="366743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4983427"/>
    <w:multiLevelType w:val="multilevel"/>
    <w:tmpl w:val="449834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77356F3"/>
    <w:multiLevelType w:val="multilevel"/>
    <w:tmpl w:val="47735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B5D01A2"/>
    <w:multiLevelType w:val="multilevel"/>
    <w:tmpl w:val="4B5D01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003471E"/>
    <w:multiLevelType w:val="multilevel"/>
    <w:tmpl w:val="500347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A2B6A25"/>
    <w:multiLevelType w:val="multilevel"/>
    <w:tmpl w:val="5A2B6A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B12029C"/>
    <w:multiLevelType w:val="multilevel"/>
    <w:tmpl w:val="5B120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3A306DC"/>
    <w:multiLevelType w:val="multilevel"/>
    <w:tmpl w:val="73A306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644587B"/>
    <w:multiLevelType w:val="multilevel"/>
    <w:tmpl w:val="764458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9B14AE8"/>
    <w:multiLevelType w:val="multilevel"/>
    <w:tmpl w:val="79B14A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10"/>
  </w:num>
  <w:num w:numId="3">
    <w:abstractNumId w:val="3"/>
  </w:num>
  <w:num w:numId="4">
    <w:abstractNumId w:val="11"/>
  </w:num>
  <w:num w:numId="5">
    <w:abstractNumId w:val="6"/>
  </w:num>
  <w:num w:numId="6">
    <w:abstractNumId w:val="5"/>
  </w:num>
  <w:num w:numId="7">
    <w:abstractNumId w:val="0"/>
  </w:num>
  <w:num w:numId="8">
    <w:abstractNumId w:val="15"/>
  </w:num>
  <w:num w:numId="9">
    <w:abstractNumId w:val="13"/>
  </w:num>
  <w:num w:numId="10">
    <w:abstractNumId w:val="2"/>
  </w:num>
  <w:num w:numId="11">
    <w:abstractNumId w:val="1"/>
  </w:num>
  <w:num w:numId="12">
    <w:abstractNumId w:val="4"/>
  </w:num>
  <w:num w:numId="13">
    <w:abstractNumId w:val="7"/>
  </w:num>
  <w:num w:numId="14">
    <w:abstractNumId w:val="16"/>
  </w:num>
  <w:num w:numId="15">
    <w:abstractNumId w:val="14"/>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ECE"/>
    <w:rsid w:val="000344FC"/>
    <w:rsid w:val="00056D57"/>
    <w:rsid w:val="000E09CA"/>
    <w:rsid w:val="00100ECE"/>
    <w:rsid w:val="003D3343"/>
    <w:rsid w:val="00813D4B"/>
    <w:rsid w:val="0093125C"/>
    <w:rsid w:val="00A06EDA"/>
    <w:rsid w:val="00CA3329"/>
    <w:rsid w:val="45B29275"/>
    <w:rsid w:val="7BEB8D6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591</Words>
  <Characters>4097</Characters>
  <Lines>136</Lines>
  <Paragraphs>72</Paragraphs>
  <TotalTime>0</TotalTime>
  <ScaleCrop>false</ScaleCrop>
  <LinksUpToDate>false</LinksUpToDate>
  <CharactersWithSpaces>4616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2025-10-09T16:11:00Z</dcterms:created>
  <dc:creator>DR AA USMAN</dc:creator>
  <cp:lastModifiedBy>Emmanuel Amos</cp:lastModifiedBy>
  <cp:lastPrinted>2025-07-11T11:40:00Z</cp:lastPrinted>
  <dcterms:modified xsi:type="dcterms:W3CDTF">2025-11-10T09:53:46Z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C06F07EB13570D786638FE68BA98593C_42</vt:lpwstr>
  </property>
</Properties>
</file>