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6585E8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GEOSPATIAL INTELLIGENCE FOUNDATION </w:t>
      </w:r>
    </w:p>
    <w:p w14:paraId="6CC2EFDD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OF NIGERIA (GIFON)</w:t>
      </w:r>
      <w:r>
        <w:rPr>
          <w:rFonts w:ascii="Bell MT" w:hAnsi="Bell MT"/>
          <w:color w:val="EE0000"/>
          <w:sz w:val="36"/>
          <w:szCs w:val="36"/>
        </w:rPr>
        <w:br w:type="textWrapping"/>
      </w:r>
    </w:p>
    <w:p w14:paraId="46DE454C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ANTI-MODERN-DAY SLAVERY </w:t>
      </w:r>
    </w:p>
    <w:p w14:paraId="426EBC45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AND HUMAN TRAFFICKING POLICY</w:t>
      </w:r>
    </w:p>
    <w:p w14:paraId="107F8D35">
      <w:pPr>
        <w:jc w:val="both"/>
        <w:rPr>
          <w:rFonts w:ascii="Bell MT" w:hAnsi="Bell MT"/>
        </w:rPr>
      </w:pPr>
    </w:p>
    <w:p w14:paraId="0858EA8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Policy Statement</w:t>
      </w:r>
    </w:p>
    <w:p w14:paraId="562AAA7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is firmly committed to the eradication of all forms of modern slavery and human trafficking in its operations and supply chains. Modern slavery — including forced labour, bonded labour, child labour, servitude, and trafficking — is a gross violation of human rights and has no place in any aspect of our work or partnerships.</w:t>
      </w:r>
    </w:p>
    <w:p w14:paraId="01DE653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3E3AED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Purpose</w:t>
      </w:r>
    </w:p>
    <w:p w14:paraId="3C676D7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aims to:</w:t>
      </w:r>
    </w:p>
    <w:p w14:paraId="66DF4020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Prevent and detect modern slavery and human trafficking in any form.</w:t>
      </w:r>
    </w:p>
    <w:p w14:paraId="1DABF9EC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Establish mechanisms for due diligence, reporting, and enforcement.</w:t>
      </w:r>
    </w:p>
    <w:p w14:paraId="699F9498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Promote ethical practices in procurement, employment, and partnerships.</w:t>
      </w:r>
    </w:p>
    <w:p w14:paraId="2A147E76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Comply with applicable Nigerian and international legal obligations.</w:t>
      </w:r>
    </w:p>
    <w:p w14:paraId="125959A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E3319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Scope</w:t>
      </w:r>
    </w:p>
    <w:p w14:paraId="74F221A1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applies to:</w:t>
      </w:r>
    </w:p>
    <w:p w14:paraId="08010B0A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employees, trustees, volunteers, contractors, consultants, grantees, and vendors of GIFON.</w:t>
      </w:r>
    </w:p>
    <w:p w14:paraId="2B112154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projects, programs, and funded activities, both in Nigeria and internationally.</w:t>
      </w:r>
    </w:p>
    <w:p w14:paraId="4B384AD0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third parties and stakeholders acting on behalf of or in collaboration with GIFON.</w:t>
      </w:r>
    </w:p>
    <w:p w14:paraId="499AE95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6F6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94B08E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Modern Slavery</w:t>
      </w:r>
      <w:r>
        <w:rPr>
          <w:rFonts w:ascii="Bell MT" w:hAnsi="Bell MT"/>
          <w:sz w:val="32"/>
          <w:szCs w:val="32"/>
        </w:rPr>
        <w:t>: Umbrella term covering slavery, servitude, forced or compulsory labour, and human trafficking.</w:t>
      </w:r>
    </w:p>
    <w:p w14:paraId="2EA15DE3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Human Trafficking</w:t>
      </w:r>
      <w:r>
        <w:rPr>
          <w:rFonts w:ascii="Bell MT" w:hAnsi="Bell MT"/>
          <w:sz w:val="32"/>
          <w:szCs w:val="32"/>
        </w:rPr>
        <w:t>: The recruitment, transportation, transfer, harbouring, or receipt of persons for the purpose of exploitation.</w:t>
      </w:r>
    </w:p>
    <w:p w14:paraId="7F9B8A61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Forced Labor</w:t>
      </w:r>
      <w:r>
        <w:rPr>
          <w:rFonts w:ascii="Bell MT" w:hAnsi="Bell MT"/>
          <w:sz w:val="32"/>
          <w:szCs w:val="32"/>
        </w:rPr>
        <w:t>: All work or service exacted from any person under the menace of penalty and for which the person has not offered himself voluntarily.</w:t>
      </w:r>
    </w:p>
    <w:p w14:paraId="0D189EE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Child Labor</w:t>
      </w:r>
      <w:r>
        <w:rPr>
          <w:rFonts w:ascii="Bell MT" w:hAnsi="Bell MT"/>
          <w:sz w:val="32"/>
          <w:szCs w:val="32"/>
        </w:rPr>
        <w:t>: Employment of children below the minimum legal working age or under exploitative conditions.</w:t>
      </w:r>
    </w:p>
    <w:p w14:paraId="7DFE1AE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32581D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Legal Frameworks</w:t>
      </w:r>
    </w:p>
    <w:p w14:paraId="50F38AF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aligns with:</w:t>
      </w:r>
    </w:p>
    <w:p w14:paraId="2A263E5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Nigeria's Trafficking in Persons (Prohibition) Enforcement and Administration Act, 2015</w:t>
      </w:r>
    </w:p>
    <w:p w14:paraId="18321A40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The Labour Act (Cap L1 Laws of the Federation of Nigeria 2004)</w:t>
      </w:r>
    </w:p>
    <w:p w14:paraId="5525B4C8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United Nations Protocol to Prevent, Suppress and Punish Trafficking in Persons (Palermo Protocol)</w:t>
      </w:r>
    </w:p>
    <w:p w14:paraId="22954AF4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ILO Conventions on Forced Labour (C029 &amp; C105)</w:t>
      </w:r>
    </w:p>
    <w:p w14:paraId="54693480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UN Guiding Principles on Business and Human Rights</w:t>
      </w:r>
    </w:p>
    <w:p w14:paraId="7028C76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8B90B6F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Risk Areas</w:t>
      </w:r>
    </w:p>
    <w:p w14:paraId="6DF8911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recognizes the following high-risk areas where modern slavery may occur:</w:t>
      </w:r>
    </w:p>
    <w:p w14:paraId="73E40609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Supply chains (especially goods/services sourced from informal or outsourced providers)</w:t>
      </w:r>
    </w:p>
    <w:p w14:paraId="0DC874E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Recruitment and labour brokerage</w:t>
      </w:r>
    </w:p>
    <w:p w14:paraId="5E391EC6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Construction, security, janitorial, and catering contracts</w:t>
      </w:r>
    </w:p>
    <w:p w14:paraId="505E8ADD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Partnership arrangements with local or rural service providers</w:t>
      </w:r>
    </w:p>
    <w:p w14:paraId="56022091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Field-level project implementation in remote or underserved communities</w:t>
      </w:r>
    </w:p>
    <w:p w14:paraId="693BD81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44C429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Responsibilities</w:t>
      </w:r>
    </w:p>
    <w:p w14:paraId="4CA3AFA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7.1 Board of Trustees</w:t>
      </w:r>
    </w:p>
    <w:p w14:paraId="3E96DC8F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Oversight of organizational compliance and risk exposure.</w:t>
      </w:r>
    </w:p>
    <w:p w14:paraId="59E09D6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C981E9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7.2 Executive Director</w:t>
      </w:r>
    </w:p>
    <w:p w14:paraId="32DA22A8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Lead implementation of anti-slavery measures and ensure accountability.</w:t>
      </w:r>
    </w:p>
    <w:p w14:paraId="1317A675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A3099F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70496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7.3 Human Resources</w:t>
      </w:r>
    </w:p>
    <w:p w14:paraId="6FBD652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Enforce fair labour practices and ethical recruitment standards.</w:t>
      </w:r>
    </w:p>
    <w:p w14:paraId="4FDEC74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Prevent child and forced labour in staffing and contracting.</w:t>
      </w:r>
    </w:p>
    <w:p w14:paraId="419BB6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08F287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7.4 Procurement Unit</w:t>
      </w:r>
    </w:p>
    <w:p w14:paraId="7F0F1505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Vet vendors and partners for anti-slavery compliance.</w:t>
      </w:r>
    </w:p>
    <w:p w14:paraId="00A653D6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Include anti-slavery clauses in contracts and tenders.</w:t>
      </w:r>
    </w:p>
    <w:p w14:paraId="7745238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7EAE55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7.5 Employees and Volunteers</w:t>
      </w:r>
    </w:p>
    <w:p w14:paraId="596C7DE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the policy and report any suspicions of abuse or trafficking.</w:t>
      </w:r>
    </w:p>
    <w:p w14:paraId="3B3110F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AC4023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Prevention and Due Diligence</w:t>
      </w:r>
    </w:p>
    <w:p w14:paraId="3C96389F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8.1 Recruitment Practices</w:t>
      </w:r>
    </w:p>
    <w:p w14:paraId="6A070586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No recruitment fees or coercive contracts allowed.</w:t>
      </w:r>
    </w:p>
    <w:p w14:paraId="2A6BD6C0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Workers shall be free to terminate employment with reasonable notice.</w:t>
      </w:r>
    </w:p>
    <w:p w14:paraId="061A3AE7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Employment shall be voluntary and based on written agreements.</w:t>
      </w:r>
    </w:p>
    <w:p w14:paraId="559AE0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752576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8.2 Contractor and Vendor Screening</w:t>
      </w:r>
    </w:p>
    <w:p w14:paraId="6CF0000E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suppliers must undergo modern slavery risk assessment.</w:t>
      </w:r>
    </w:p>
    <w:p w14:paraId="4E3EF9AB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Contracts must include warranties of compliance and audit rights.</w:t>
      </w:r>
    </w:p>
    <w:p w14:paraId="60FCF434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Preference for certified ethical vendors (Fair Trade, ISO 26000, etc.).</w:t>
      </w:r>
    </w:p>
    <w:p w14:paraId="65D64E7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3315BF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8.3 Training and Awareness</w:t>
      </w:r>
    </w:p>
    <w:p w14:paraId="77A2BE5E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staff shall undergo annual training on modern slavery risks and reporting.</w:t>
      </w:r>
    </w:p>
    <w:p w14:paraId="396E0499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Field teams and partners shall be educated on rights, indicators, and red flags.</w:t>
      </w:r>
    </w:p>
    <w:p w14:paraId="2C4E95D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578A6A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Protection of Whistleblowers</w:t>
      </w:r>
    </w:p>
    <w:p w14:paraId="209D14B4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Retaliation against whistleblowers is strictly prohibited.</w:t>
      </w:r>
    </w:p>
    <w:p w14:paraId="4530094B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Reports will be investigated confidentially, promptly, and sensitively.</w:t>
      </w:r>
    </w:p>
    <w:p w14:paraId="476A843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99698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Monitoring and Enforcement</w:t>
      </w:r>
    </w:p>
    <w:p w14:paraId="4672820A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Internal audits shall include checks for labour and human rights abuses.</w:t>
      </w:r>
    </w:p>
    <w:p w14:paraId="31F3883C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Annual slavery risk assessments shall be conducted across the value chain.</w:t>
      </w:r>
    </w:p>
    <w:p w14:paraId="66BE2E07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Non-compliant vendors or partners may be terminated or blacklisted.</w:t>
      </w:r>
    </w:p>
    <w:p w14:paraId="534E97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29A68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Disciplinary Measures</w:t>
      </w:r>
    </w:p>
    <w:p w14:paraId="09E7322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Violations of this policy will result in:</w:t>
      </w:r>
    </w:p>
    <w:p w14:paraId="057B2410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Disciplinary action (including termination of employment or contract)</w:t>
      </w:r>
    </w:p>
    <w:p w14:paraId="602327E4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Legal prosecution where applicable</w:t>
      </w:r>
    </w:p>
    <w:p w14:paraId="3FBE4ADE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Remedial measures for affected persons (referrals, support, reintegration)</w:t>
      </w:r>
    </w:p>
    <w:p w14:paraId="4CBA30E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10C65F7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Policy Review</w:t>
      </w:r>
    </w:p>
    <w:p w14:paraId="25487B8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shall be reviewed:</w:t>
      </w:r>
    </w:p>
    <w:p w14:paraId="68B88040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Biennially</w:t>
      </w:r>
      <w:r>
        <w:rPr>
          <w:rFonts w:ascii="Bell MT" w:hAnsi="Bell MT"/>
          <w:sz w:val="32"/>
          <w:szCs w:val="32"/>
        </w:rPr>
        <w:t>, or</w:t>
      </w:r>
    </w:p>
    <w:p w14:paraId="091D01A7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Upon changes in legislation, risk exposure, or operational scope.</w:t>
      </w:r>
    </w:p>
    <w:p w14:paraId="38D5147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Recommendations shall be submitted by the Compliance and Risk Unit to the Board.</w:t>
      </w:r>
    </w:p>
    <w:p w14:paraId="0CB3361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2EE25D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Related Policies</w:t>
      </w:r>
    </w:p>
    <w:p w14:paraId="452F5006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Human Rights and Ethics Policy</w:t>
      </w:r>
    </w:p>
    <w:p w14:paraId="431DCD9F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Whistleblower Protection Policy</w:t>
      </w:r>
    </w:p>
    <w:p w14:paraId="696625A0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Procurement and Vendor Management Policy</w:t>
      </w:r>
    </w:p>
    <w:p w14:paraId="0EBE554D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Safeguarding Policy</w:t>
      </w:r>
    </w:p>
    <w:p w14:paraId="36DB2D36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Code of Conduct and Professional Ethics</w:t>
      </w:r>
    </w:p>
    <w:p w14:paraId="7A93F3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8E0642A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40773917"/>
      <w:docPartObj>
        <w:docPartGallery w:val="AutoText"/>
      </w:docPartObj>
    </w:sdtPr>
    <w:sdtContent>
      <w:p w14:paraId="1E942829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1584354871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GmJg6HSAAAAAwEAAA8AAAAAAAAAAQAgAAAAIgAAAGRycy9kb3ducmV2LnhtbFBL&#10;AQIUABQAAAAIAIdO4kCNnlU9NQIAAJEEAAAOAAAAAAAAAAEAIAAAACEBAABkcnMvZTJvRG9jLnht&#10;bFBLBQYAAAAABgAGAFkBAADIBQAAAAA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34D5805E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12C4D4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5CACBB">
    <w:pPr>
      <w:pStyle w:val="14"/>
      <w:rPr>
        <w:rFonts w:hint="default"/>
        <w:lang w:val="en-US"/>
      </w:rPr>
    </w:pPr>
    <w:r>
      <w:rPr>
        <w:rFonts w:hint="default"/>
        <w:lang w:val="en-US"/>
      </w:rPr>
      <w:drawing>
        <wp:inline distT="0" distB="0" distL="114300" distR="114300">
          <wp:extent cx="5728970" cy="1037590"/>
          <wp:effectExtent l="0" t="0" r="11430" b="3810"/>
          <wp:docPr id="1" name="Picture 1" descr="Screenshot 2025-10-26 at 15.58.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creenshot 2025-10-26 at 15.58.1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28970" cy="10375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595630"/>
    <w:multiLevelType w:val="multilevel"/>
    <w:tmpl w:val="01595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7B90040"/>
    <w:multiLevelType w:val="multilevel"/>
    <w:tmpl w:val="07B900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8560D87"/>
    <w:multiLevelType w:val="multilevel"/>
    <w:tmpl w:val="08560D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804083A"/>
    <w:multiLevelType w:val="multilevel"/>
    <w:tmpl w:val="180408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E555747"/>
    <w:multiLevelType w:val="multilevel"/>
    <w:tmpl w:val="1E5557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BCC7C23"/>
    <w:multiLevelType w:val="multilevel"/>
    <w:tmpl w:val="2BCC7C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A2E3082"/>
    <w:multiLevelType w:val="multilevel"/>
    <w:tmpl w:val="3A2E30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F5D1FDA"/>
    <w:multiLevelType w:val="multilevel"/>
    <w:tmpl w:val="3F5D1F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080B0B"/>
    <w:multiLevelType w:val="multilevel"/>
    <w:tmpl w:val="50080B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5492541"/>
    <w:multiLevelType w:val="multilevel"/>
    <w:tmpl w:val="554925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00032F2"/>
    <w:multiLevelType w:val="multilevel"/>
    <w:tmpl w:val="600032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0B66C0E"/>
    <w:multiLevelType w:val="multilevel"/>
    <w:tmpl w:val="60B66C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7DE7EF2"/>
    <w:multiLevelType w:val="multilevel"/>
    <w:tmpl w:val="67DE7E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6B26693F"/>
    <w:multiLevelType w:val="multilevel"/>
    <w:tmpl w:val="6B2669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E0C0ADE"/>
    <w:multiLevelType w:val="multilevel"/>
    <w:tmpl w:val="6E0C0A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6E8E19F1"/>
    <w:multiLevelType w:val="multilevel"/>
    <w:tmpl w:val="6E8E19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76851F9C"/>
    <w:multiLevelType w:val="multilevel"/>
    <w:tmpl w:val="76851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D184C84"/>
    <w:multiLevelType w:val="multilevel"/>
    <w:tmpl w:val="7D184C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7"/>
  </w:num>
  <w:num w:numId="2">
    <w:abstractNumId w:val="17"/>
  </w:num>
  <w:num w:numId="3">
    <w:abstractNumId w:val="5"/>
  </w:num>
  <w:num w:numId="4">
    <w:abstractNumId w:val="6"/>
  </w:num>
  <w:num w:numId="5">
    <w:abstractNumId w:val="8"/>
  </w:num>
  <w:num w:numId="6">
    <w:abstractNumId w:val="9"/>
  </w:num>
  <w:num w:numId="7">
    <w:abstractNumId w:val="4"/>
  </w:num>
  <w:num w:numId="8">
    <w:abstractNumId w:val="1"/>
  </w:num>
  <w:num w:numId="9">
    <w:abstractNumId w:val="15"/>
  </w:num>
  <w:num w:numId="10">
    <w:abstractNumId w:val="11"/>
  </w:num>
  <w:num w:numId="11">
    <w:abstractNumId w:val="12"/>
  </w:num>
  <w:num w:numId="12">
    <w:abstractNumId w:val="16"/>
  </w:num>
  <w:num w:numId="13">
    <w:abstractNumId w:val="0"/>
  </w:num>
  <w:num w:numId="14">
    <w:abstractNumId w:val="14"/>
  </w:num>
  <w:num w:numId="15">
    <w:abstractNumId w:val="2"/>
  </w:num>
  <w:num w:numId="16">
    <w:abstractNumId w:val="13"/>
  </w:num>
  <w:num w:numId="17">
    <w:abstractNumId w:val="1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2007"/>
    <w:rsid w:val="000F0CA5"/>
    <w:rsid w:val="003D3343"/>
    <w:rsid w:val="00466F24"/>
    <w:rsid w:val="00553BFF"/>
    <w:rsid w:val="00590D99"/>
    <w:rsid w:val="006511DE"/>
    <w:rsid w:val="006C1363"/>
    <w:rsid w:val="008E0974"/>
    <w:rsid w:val="0093125C"/>
    <w:rsid w:val="00936843"/>
    <w:rsid w:val="00A06EDA"/>
    <w:rsid w:val="00EE2007"/>
    <w:rsid w:val="00EE7E50"/>
    <w:rsid w:val="00FC2F7B"/>
    <w:rsid w:val="BD37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627</Words>
  <Characters>4063</Characters>
  <Lines>140</Lines>
  <Paragraphs>93</Paragraphs>
  <TotalTime>1</TotalTime>
  <ScaleCrop>false</ScaleCrop>
  <LinksUpToDate>false</LinksUpToDate>
  <CharactersWithSpaces>4597</CharactersWithSpaces>
  <Application>WPS Office_12.1.23143.23143_F1E327BC-269C-435d-A152-05C5408002CA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2025-10-09T15:13:00Z</dcterms:created>
  <dc:creator>DR AA USMAN</dc:creator>
  <cp:lastModifiedBy>Emmanuel Amos</cp:lastModifiedBy>
  <cp:lastPrinted>2025-07-11T10:51:00Z</cp:lastPrinted>
  <dcterms:modified xsi:type="dcterms:W3CDTF">2025-10-26T16:04:58Z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A087FECCFB80E2B79A38FE68A00F4ADD_42</vt:lpwstr>
  </property>
</Properties>
</file>