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single" w:color="0f172a" w:sz="18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type="dxa" w:w="0"/>
              <w:left w:type="dxa" w:w="0"/>
              <w:bottom w:type="dxa" w:w="210"/>
              <w:right w:type="dxa" w:w="0"/>
            </w:tcMar>
          </w:tcPr>
          <w:p>
            <w:pPr>
              <w:spacing w:after="0" w:before="0" w:line="238" w:lineRule="exact"/>
            </w:pPr>
            <w:r>
              <w:rPr>
                <w:rFonts w:ascii="Arial" w:cs="Arial" w:eastAsia="Arial" w:hAnsi="Arial"/>
                <w:caps/>
                <w:color w:val="64748b"/>
                <w:spacing w:val="24"/>
                <w:sz w:val="17"/>
                <w:szCs w:val="17"/>
              </w:rPr>
              <w:t xml:space="preserve">Invoice</w:t>
            </w:r>
          </w:p>
          <w:p>
            <w:pPr>
              <w:spacing w:after="0" w:before="60" w:line="588" w:lineRule="exact"/>
            </w:pPr>
            <w:r>
              <w:rPr>
                <w:rFonts w:ascii="Arial" w:cs="Arial" w:eastAsia="Arial" w:hAnsi="Arial"/>
                <w:b/>
                <w:bCs/>
                <w:color w:val="0f172a"/>
                <w:sz w:val="42"/>
                <w:szCs w:val="42"/>
              </w:rPr>
              <w:t xml:space="preserve">#INV-4821</w:t>
            </w:r>
          </w:p>
        </w:tc>
        <w:tc>
          <w:tcPr>
            <w:tcW w:type="dxa" w:w="4680"/>
            <w:tcMar>
              <w:top w:type="dxa" w:w="0"/>
              <w:left w:type="dxa" w:w="0"/>
              <w:bottom w:type="dxa" w:w="210"/>
              <w:right w:type="dxa" w:w="0"/>
            </w:tcMar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600200" cy="457200"/>
                  <wp:effectExtent t="0" r="0" b="0" l="0"/>
                  <wp:docPr id="1" name="Meridian Analytics logo" descr="Meridian Analytics logo" title="Meridian Analytic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Meridian Analytics, Inc.</w:t>
            </w:r>
          </w:p>
          <w:p>
            <w:pPr>
              <w:spacing w:after="0" w:before="60" w:line="280" w:lineRule="exact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1200 Market Street, Suite 400</w:t>
            </w:r>
          </w:p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 Francisco, CA 94103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none" w:color="auto" w:sz="0"/>
          <w:insideV w:val="none" w:color="auto" w:sz="0"/>
        </w:tblBorders>
        <w:tblLayout w:type="fixed"/>
      </w:tblPr>
      <w:tblGrid>
        <w:gridCol w:w="4680"/>
        <w:gridCol w:w="2340"/>
        <w:gridCol w:w="2340"/>
      </w:tblGrid>
      <w:tr>
        <w:tc>
          <w:tcPr>
            <w:tcW w:type="dxa" w:w="4680"/>
            <w:vMerge w:val="restart"/>
            <w:tcBorders>
              <w:right w:val="single" w:color="e2e8f0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 w:line="238" w:lineRule="exact"/>
            </w:pPr>
            <w:r>
              <w:rPr>
                <w:rFonts w:ascii="Arial" w:cs="Arial" w:eastAsia="Arial" w:hAnsi="Arial"/>
                <w:caps/>
                <w:color w:val="64748b"/>
                <w:spacing w:val="17"/>
                <w:sz w:val="17"/>
                <w:szCs w:val="17"/>
              </w:rPr>
              <w:t xml:space="preserve">Bill to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Northwind Traders LLC</w:t>
            </w:r>
          </w:p>
          <w:p>
            <w:pPr>
              <w:spacing w:after="0" w:before="60" w:line="280" w:lineRule="exac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Attn: Accounts Payable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88 Harbor Way · Boston, MA 02110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March 15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Due date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April 14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Terms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 reference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NW-118</w:t>
            </w:r>
          </w:p>
        </w:tc>
      </w:tr>
    </w:tbl>
    <w:p>
      <w:pPr>
        <w:spacing w:after="27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  <w:tblLayout w:type="fixed"/>
      </w:tblPr>
      <w:tblGrid>
        <w:gridCol w:w="5428"/>
        <w:gridCol w:w="936"/>
        <w:gridCol w:w="1498"/>
        <w:gridCol w:w="1498"/>
      </w:tblGrid>
      <w:tr>
        <w:tc>
          <w:tcPr>
            <w:tcW w:type="dxa" w:w="542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Qty</w:t>
            </w:r>
          </w:p>
        </w:tc>
        <w:tc>
          <w:tcPr>
            <w:tcW w:type="dxa" w:w="149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Rate</w:t>
            </w:r>
          </w:p>
        </w:tc>
        <w:tc>
          <w:tcPr>
            <w:tcW w:type="dxa" w:w="149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42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migration — Phase 2 (engineering days)</w:t>
            </w:r>
          </w:p>
        </w:tc>
        <w:tc>
          <w:tcPr>
            <w:tcW w:type="dxa" w:w="936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$185.00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$2,220.00</w:t>
            </w:r>
          </w:p>
        </w:tc>
      </w:tr>
      <w:tr>
        <w:tc>
          <w:tcPr>
            <w:tcW w:type="dxa" w:w="542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support (hourly)</w:t>
            </w:r>
          </w:p>
        </w:tc>
        <w:tc>
          <w:tcPr>
            <w:tcW w:type="dxa" w:w="936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9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$165.00</w:t>
            </w:r>
          </w:p>
        </w:tc>
        <w:tc>
          <w:tcPr>
            <w:tcW w:type="dxa" w:w="149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$1,320.00</w:t>
            </w:r>
          </w:p>
        </w:tc>
      </w:tr>
      <w:tr>
        <w:tc>
          <w:tcPr>
            <w:tcW w:type="dxa" w:w="542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On-site training — Boston (1 day)</w:t>
            </w:r>
          </w:p>
        </w:tc>
        <w:tc>
          <w:tcPr>
            <w:tcW w:type="dxa" w:w="936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$2,400.00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$2,400.00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48"/>
        <w:gridCol w:w="2059"/>
        <w:gridCol w:w="2153"/>
      </w:tblGrid>
      <w:tr>
        <w:tc>
          <w:tcPr>
            <w:tcW w:type="dxa" w:w="5148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Subtotal</w:t>
            </w:r>
          </w:p>
        </w:tc>
        <w:tc>
          <w:tcPr>
            <w:tcW w:type="dxa" w:w="2153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$5,940.00</w:t>
            </w:r>
          </w:p>
        </w:tc>
      </w:tr>
      <w:tr>
        <w:tc>
          <w:tcPr>
            <w:tcW w:type="dxa" w:w="5148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Sales tax (6.25%)</w:t>
            </w:r>
          </w:p>
        </w:tc>
        <w:tc>
          <w:tcPr>
            <w:tcW w:type="dxa" w:w="2153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$371.25</w:t>
            </w:r>
          </w:p>
        </w:tc>
      </w:tr>
      <w:tr>
        <w:tc>
          <w:tcPr>
            <w:tcW w:type="dxa" w:w="5148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due</w:t>
            </w:r>
          </w:p>
        </w:tc>
        <w:tc>
          <w:tcPr>
            <w:tcW w:type="dxa" w:w="2153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$6,311.25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2563eb" w:sz="24" w:space="11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80"/>
              <w:left w:type="dxa" w:w="210"/>
              <w:bottom w:type="dxa" w:w="180"/>
              <w:right w:type="dxa" w:w="210"/>
            </w:tcMar>
          </w:tcPr>
          <w:p>
            <w:pPr>
              <w:spacing w:after="0" w:before="0" w:line="294" w:lineRule="exact"/>
              <w:contextualSpacing w:val="false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Payment instructions: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Wire to Meridian Analytics · Routing 021000021 · Account ending 8842. Include invoice </w:t>
            </w: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#INV-4821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in the memo line. </w:t>
            </w:r>
          </w:p>
        </w:tc>
      </w:tr>
    </w:tbl>
    <w:p>
      <w:pPr>
        <w:spacing w:after="170" w:before="210" w:line="238" w:lineRule="atLeast"/>
        <w:textAlignment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Questions?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</w:t>
      </w:r>
      <w:hyperlink w:history="1" r:id="rIdurvbrgfgbgl_hh9z7qsic">
        <w:r>
          <w:rPr>
            <w:rStyle w:val="Hyperlink"/>
            <w:rFonts w:ascii="Arial" w:cs="Arial" w:eastAsia="Arial" w:hAnsi="Arial"/>
            <w:color w:val="2563eb"/>
            <w:sz w:val="17"/>
            <w:szCs w:val="17"/>
            <w:u w:val="single" w:color="2563eb"/>
          </w:rPr>
          <w:t xml:space="preserve">ar@meridian.example</w:t>
        </w:r>
      </w:hyperlink>
      <w:r>
        <w:rPr>
          <w:rFonts w:ascii="Arial" w:cs="Arial" w:eastAsia="Arial" w:hAnsi="Arial"/>
          <w:color w:val="94a3b8"/>
          <w:sz w:val="17"/>
          <w:szCs w:val="17"/>
        </w:rPr>
        <w:t xml:space="preserve">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· Thank you for your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rvbrgfgbgl_hh9z7qsic" Type="http://schemas.openxmlformats.org/officeDocument/2006/relationships/hyperlink" Target="mailto:ar@meridian.example" TargetMode="External"/><Relationship Id="rId7" Type="http://schemas.openxmlformats.org/officeDocument/2006/relationships/image" Target="media/cc9437b84676d8c5b0827a59ed35de043f9008c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2026-07-21T01:52:56.504Z</dcterms:created>
  <dcterms:modified xsi:type="dcterms:W3CDTF">2026-07-21T01:52:56.504Z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