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2e" w:color="auto" w:val="clear"/>
            <w:tcMar>
              <w:top w:type="dxa" w:w="360"/>
              <w:left w:type="dxa" w:w="420"/>
              <w:bottom w:type="dxa" w:w="360"/>
              <w:right w:type="dxa" w:w="420"/>
            </w:tcMar>
          </w:tcPr>
          <w:p>
            <w:pPr>
              <w:spacing w:line="238" w:lineRule="atLeast"/>
              <w:jc w:val="left"/>
              <w:textAlignment w:val="center"/>
            </w:pPr>
            <w:r>
              <w:rPr>
                <w:b w:val="false"/>
                <w:bCs w:val="false"/>
                <w:i w:val="false"/>
                <w:iCs w:val="false"/>
                <w:caps/>
                <w:color w:val="a8dadc"/>
                <w:sz w:val="17"/>
                <w:szCs w:val="17"/>
              </w:rPr>
              <w:t xml:space="preserve">Product launch</w:t>
            </w:r>
          </w:p>
          <w:p>
            <w:pPr>
              <w:pStyle w:val="Heading1"/>
              <w:spacing w:after="90" w:before="240" w:line="672" w:lineRule="atLeast"/>
              <w:jc w:val="left"/>
              <w:textAlignment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48"/>
                <w:szCs w:val="48"/>
              </w:rPr>
              <w:t xml:space="preserve">Atlas CRM 3.0</w:t>
            </w:r>
          </w:p>
          <w:p>
            <w:pPr>
              <w:spacing w:line="294" w:lineRule="atLeast"/>
              <w:jc w:val="left"/>
              <w:textAlignment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cbd5e1"/>
                <w:sz w:val="21"/>
                <w:szCs w:val="21"/>
              </w:rPr>
              <w:t xml:space="preserve">General availability · April 14</w:t>
            </w:r>
          </w:p>
        </w:tc>
      </w:tr>
    </w:tbl>
    <w:p>
      <w:pPr>
        <w:spacing w:after="270" w:before="0" w:line="20" w:lineRule="exact"/>
      </w:pPr>
      <w:r>
        <w:rPr>
          <w:sz w:val="21"/>
          <w:szCs w:val="21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457b9d" w:sz="30" w:space="14"/>
              <w:bottom w:val="none" w:color="auto" w:sz="0"/>
              <w:right w:val="none" w:color="auto" w:sz="0"/>
            </w:tcBorders>
            <w:shd w:fill="f0f7ff" w:color="auto" w:val="clear"/>
            <w:tcMar>
              <w:top w:type="dxa" w:w="210"/>
              <w:left w:type="dxa" w:w="270"/>
              <w:bottom w:type="dxa" w:w="210"/>
              <w:right w:type="dxa" w:w="270"/>
            </w:tcMar>
          </w:tcPr>
          <w:p>
            <w:pPr>
              <w:spacing w:after="0" w:before="0" w:line="294" w:lineRule="exact"/>
              <w:contextualSpacing w:val="false"/>
            </w:pPr>
            <w:r>
              <w:rPr>
                <w:b/>
                <w:bCs/>
                <w:i w:val="false"/>
                <w:iCs w:val="false"/>
                <w:caps w:val="false"/>
                <w:color w:val="1d3557"/>
                <w:sz w:val="21"/>
                <w:szCs w:val="21"/>
              </w:rPr>
              <w:t xml:space="preserve">North star: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21"/>
                <w:szCs w:val="21"/>
              </w:rPr>
              <w:t xml:space="preserve"> </w:t>
            </w:r>
            <w:r>
              <w:rPr>
                <w:b w:val="false"/>
                <w:bCs w:val="false"/>
                <w:i w:val="false"/>
                <w:iCs w:val="false"/>
                <w:caps w:val="false"/>
                <w:color w:val="334155"/>
                <w:sz w:val="21"/>
                <w:szCs w:val="21"/>
              </w:rPr>
              <w:t xml:space="preserve"> Cut time-to-first-deal by 40% for mid-market sales teams.</w:t>
            </w:r>
          </w:p>
        </w:tc>
      </w:tr>
    </w:tbl>
    <w:p>
      <w:pPr>
        <w:spacing w:after="120" w:before="180" w:line="252" w:lineRule="atLeast"/>
        <w:jc w:val="left"/>
        <w:textAlignment w:val="center"/>
      </w:pPr>
      <w:r>
        <w:rPr>
          <w:b/>
          <w:bCs/>
          <w:i w:val="false"/>
          <w:iCs w:val="false"/>
          <w:caps/>
          <w:color w:val="1d3557"/>
          <w:sz w:val="18"/>
          <w:szCs w:val="18"/>
        </w:rPr>
        <w:t xml:space="preserve">Launch KPIs</w:t>
      </w:r>
      <w:r>
        <w:rPr>
          <w:b w:val="false"/>
          <w:bCs w:val="false"/>
          <w:i w:val="false"/>
          <w:iCs w:val="false"/>
          <w:caps/>
          <w:color w:val="1d3557"/>
          <w:sz w:val="18"/>
          <w:szCs w:val="18"/>
        </w:rPr>
        <w:t xml:space="preserve"> </w:t>
      </w:r>
      <w:r>
        <w:rPr>
          <w:b w:val="false"/>
          <w:bCs w:val="false"/>
          <w:i w:val="false"/>
          <w:iCs w:val="false"/>
          <w:caps/>
          <w:color w:val="1d3557"/>
          <w:sz w:val="18"/>
          <w:szCs w:val="18"/>
        </w:rPr>
        <w:t xml:space="preserve">· target 90 days</w:t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6325"/>
        <w:gridCol w:w="3035"/>
      </w:tblGrid>
      <w:tr>
        <w:tc>
          <w:tcPr>
            <w:tcW w:type="dxa" w:w="6325"/>
            <w:shd w:fill="1d3557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94" w:lineRule="exact"/>
              <w:jc w:val="left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3035"/>
            <w:shd w:fill="1d3557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94" w:lineRule="exact"/>
              <w:jc w:val="right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Target</w:t>
            </w:r>
          </w:p>
        </w:tc>
      </w:tr>
      <w:tr>
        <w:tc>
          <w:tcPr>
            <w:tcW w:type="dxa" w:w="6325"/>
            <w:shd w:fill="f8fafc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94" w:lineRule="exact"/>
              <w:jc w:val="left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21"/>
                <w:szCs w:val="21"/>
              </w:rPr>
              <w:t xml:space="preserve">Activations</w:t>
            </w:r>
          </w:p>
        </w:tc>
        <w:tc>
          <w:tcPr>
            <w:tcW w:type="dxa" w:w="3035"/>
            <w:shd w:fill="f8fafc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94" w:lineRule="exact"/>
              <w:jc w:val="right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21"/>
                <w:szCs w:val="21"/>
              </w:rPr>
              <w:t xml:space="preserve">12,000</w:t>
            </w:r>
          </w:p>
        </w:tc>
      </w:tr>
      <w:tr>
        <w:tc>
          <w:tcPr>
            <w:tcW w:type="dxa" w:w="6325"/>
            <w:shd w:fill="f8fafc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94" w:lineRule="exact"/>
              <w:jc w:val="left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21"/>
                <w:szCs w:val="21"/>
              </w:rPr>
              <w:t xml:space="preserve">Week-4 retention</w:t>
            </w:r>
          </w:p>
        </w:tc>
        <w:tc>
          <w:tcPr>
            <w:tcW w:type="dxa" w:w="3035"/>
            <w:shd w:fill="f8fafc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94" w:lineRule="exact"/>
              <w:jc w:val="right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21"/>
                <w:szCs w:val="21"/>
              </w:rPr>
              <w:t xml:space="preserve">68%</w:t>
            </w:r>
          </w:p>
        </w:tc>
      </w:tr>
      <w:tr>
        <w:tc>
          <w:tcPr>
            <w:tcW w:type="dxa" w:w="6325"/>
            <w:shd w:fill="f8fafc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94" w:lineRule="exact"/>
              <w:jc w:val="left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21"/>
                <w:szCs w:val="21"/>
              </w:rPr>
              <w:t xml:space="preserve">NPS</w:t>
            </w:r>
          </w:p>
        </w:tc>
        <w:tc>
          <w:tcPr>
            <w:tcW w:type="dxa" w:w="3035"/>
            <w:shd w:fill="f8fafc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94" w:lineRule="exact"/>
              <w:jc w:val="right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21"/>
                <w:szCs w:val="21"/>
              </w:rPr>
              <w:t xml:space="preserve">4.6</w:t>
            </w:r>
          </w:p>
        </w:tc>
      </w:tr>
    </w:tbl>
    <w:p>
      <w:pPr>
        <w:pStyle w:val="Heading2"/>
        <w:spacing w:before="300" w:line="294" w:lineRule="atLeast"/>
        <w:jc w:val="left"/>
        <w:textAlignment w:val="center"/>
      </w:pPr>
      <w:r>
        <w:rPr>
          <w:b/>
          <w:bCs/>
          <w:i w:val="false"/>
          <w:iCs w:val="false"/>
          <w:caps/>
          <w:color w:val="1d3557"/>
          <w:sz w:val="21"/>
          <w:szCs w:val="21"/>
        </w:rPr>
        <w:t xml:space="preserve">Activation funnel</w:t>
      </w:r>
    </w:p>
    <w:tbl>
      <w:tblPr>
        <w:tblW w:type="dxa" w:w="9360"/>
        <w:tblBorders>
          <w:top w:val="single" w:color="eeeeee" w:sz="2"/>
          <w:left w:val="single" w:color="eeeeee" w:sz="2"/>
          <w:bottom w:val="single" w:color="eeeeee" w:sz="2"/>
          <w:right w:val="single" w:color="eeeeee" w:sz="2"/>
          <w:insideH w:val="single" w:color="eeeeee" w:sz="2"/>
          <w:insideV w:val="single" w:color="eeeeee" w:sz="2"/>
        </w:tblBorders>
        <w:tblLayout w:type="fixed"/>
      </w:tblPr>
      <w:tblGrid>
        <w:gridCol w:w="3120"/>
        <w:gridCol w:w="2475"/>
        <w:gridCol w:w="3765"/>
      </w:tblGrid>
      <w:tr>
        <w:tc>
          <w:tcPr>
            <w:tcW w:type="dxa" w:w="3120"/>
            <w:shd w:fill="e8eef5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  <w:jc w:val="left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21"/>
                <w:szCs w:val="21"/>
              </w:rPr>
              <w:t xml:space="preserve">Stage</w:t>
            </w:r>
          </w:p>
        </w:tc>
        <w:tc>
          <w:tcPr>
            <w:tcW w:type="dxa" w:w="2475"/>
            <w:shd w:fill="e8eef5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  <w:jc w:val="right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21"/>
                <w:szCs w:val="21"/>
              </w:rPr>
              <w:t xml:space="preserve">Count</w:t>
            </w:r>
          </w:p>
        </w:tc>
        <w:tc>
          <w:tcPr>
            <w:tcW w:type="dxa" w:w="3765"/>
            <w:shd w:fill="e8eef5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  <w:jc w:val="right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21"/>
                <w:szCs w:val="21"/>
              </w:rPr>
              <w:t xml:space="preserve">Conversion</w:t>
            </w:r>
          </w:p>
        </w:tc>
      </w:tr>
      <w:tr>
        <w:tc>
          <w:tcPr>
            <w:tcW w:type="dxa" w:w="312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  <w:jc w:val="left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21"/>
                <w:szCs w:val="21"/>
              </w:rPr>
              <w:t xml:space="preserve">Signup</w:t>
            </w:r>
          </w:p>
        </w:tc>
        <w:tc>
          <w:tcPr>
            <w:tcW w:type="dxa" w:w="2475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  <w:jc w:val="right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21"/>
                <w:szCs w:val="21"/>
              </w:rPr>
              <w:t xml:space="preserve">12,400</w:t>
            </w:r>
          </w:p>
        </w:tc>
        <w:tc>
          <w:tcPr>
            <w:tcW w:type="dxa" w:w="3765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  <w:jc w:val="right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21"/>
                <w:szCs w:val="21"/>
              </w:rPr>
              <w:t xml:space="preserve">100%</w:t>
            </w:r>
          </w:p>
        </w:tc>
      </w:tr>
      <w:tr>
        <w:tc>
          <w:tcPr>
            <w:tcW w:type="dxa" w:w="312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  <w:jc w:val="left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21"/>
                <w:szCs w:val="21"/>
              </w:rPr>
              <w:t xml:space="preserve">Trial</w:t>
            </w:r>
          </w:p>
        </w:tc>
        <w:tc>
          <w:tcPr>
            <w:tcW w:type="dxa" w:w="2475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  <w:jc w:val="right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21"/>
                <w:szCs w:val="21"/>
              </w:rPr>
              <w:t xml:space="preserve">9,800</w:t>
            </w:r>
          </w:p>
        </w:tc>
        <w:tc>
          <w:tcPr>
            <w:tcW w:type="dxa" w:w="3765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  <w:jc w:val="right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21"/>
                <w:szCs w:val="21"/>
              </w:rPr>
              <w:t xml:space="preserve">79%</w:t>
            </w:r>
          </w:p>
        </w:tc>
      </w:tr>
      <w:tr>
        <w:tc>
          <w:tcPr>
            <w:tcW w:type="dxa" w:w="312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  <w:jc w:val="left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21"/>
                <w:szCs w:val="21"/>
              </w:rPr>
              <w:t xml:space="preserve">Qualified</w:t>
            </w:r>
          </w:p>
        </w:tc>
        <w:tc>
          <w:tcPr>
            <w:tcW w:type="dxa" w:w="2475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  <w:jc w:val="right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21"/>
                <w:szCs w:val="21"/>
              </w:rPr>
              <w:t xml:space="preserve">6,200</w:t>
            </w:r>
          </w:p>
        </w:tc>
        <w:tc>
          <w:tcPr>
            <w:tcW w:type="dxa" w:w="3765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  <w:jc w:val="right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21"/>
                <w:szCs w:val="21"/>
              </w:rPr>
              <w:t xml:space="preserve">50%</w:t>
            </w:r>
          </w:p>
        </w:tc>
      </w:tr>
      <w:tr>
        <w:tc>
          <w:tcPr>
            <w:tcW w:type="dxa" w:w="3120"/>
            <w:shd w:fill="f0f7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  <w:jc w:val="left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21"/>
                <w:szCs w:val="21"/>
              </w:rPr>
              <w:t xml:space="preserve">Closed</w:t>
            </w:r>
          </w:p>
        </w:tc>
        <w:tc>
          <w:tcPr>
            <w:tcW w:type="dxa" w:w="2475"/>
            <w:shd w:fill="f0f7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  <w:jc w:val="right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21"/>
                <w:szCs w:val="21"/>
              </w:rPr>
              <w:t xml:space="preserve">3,100</w:t>
            </w:r>
          </w:p>
        </w:tc>
        <w:tc>
          <w:tcPr>
            <w:tcW w:type="dxa" w:w="3765"/>
            <w:shd w:fill="f0f7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  <w:jc w:val="right"/>
            </w:pPr>
            <w:r>
              <w:rPr>
                <w:b/>
                <w:bCs/>
                <w:i w:val="false"/>
                <w:iCs w:val="false"/>
                <w:caps w:val="false"/>
                <w:color w:val="111111"/>
                <w:sz w:val="21"/>
                <w:szCs w:val="21"/>
              </w:rPr>
              <w:t xml:space="preserve">25%</w:t>
            </w:r>
          </w:p>
        </w:tc>
      </w:tr>
    </w:tbl>
    <w:p>
      <w:pPr>
        <w:pStyle w:val="Heading2"/>
        <w:spacing w:before="300" w:line="294" w:lineRule="atLeast"/>
        <w:jc w:val="left"/>
        <w:textAlignment w:val="center"/>
      </w:pPr>
      <w:r>
        <w:rPr>
          <w:b/>
          <w:bCs/>
          <w:i w:val="false"/>
          <w:iCs w:val="false"/>
          <w:caps/>
          <w:color w:val="1d3557"/>
          <w:sz w:val="21"/>
          <w:szCs w:val="21"/>
        </w:rPr>
        <w:t xml:space="preserve">Roadmap</w:t>
      </w:r>
    </w:p>
    <w:p>
      <w:pPr>
        <w:spacing w:after="210" w:before="0" w:line="20" w:lineRule="exact"/>
      </w:pPr>
      <w:r>
        <w:rPr>
          <w:sz w:val="21"/>
          <w:szCs w:val="21"/>
        </w:rPr>
        <w:t xml:space="preserve"/>
      </w:r>
    </w:p>
    <w:p>
      <w:pPr>
        <w:pStyle w:val="ListBullet"/>
        <w:numPr>
          <w:ilvl w:val="0"/>
          <w:numId w:val="2"/>
        </w:numPr>
        <w:spacing w:after="0" w:before="0" w:line="294" w:lineRule="exact"/>
        <w:contextualSpacing/>
        <w:jc w:val="left"/>
      </w:pPr>
      <w:r>
        <w:rPr>
          <w:b w:val="false"/>
          <w:bCs w:val="false"/>
          <w:i w:val="false"/>
          <w:iCs w:val="false"/>
          <w:caps w:val="false"/>
          <w:color w:val="14532d"/>
          <w:sz w:val="17"/>
          <w:szCs w:val="17"/>
          <w:shd w:fill="BBF7D0" w:color="auto" w:val="clear"/>
        </w:rPr>
        <w:t xml:space="preserve">SHIPPED</w:t>
      </w:r>
      <w:r>
        <w:rPr>
          <w:b w:val="false"/>
          <w:bCs w:val="false"/>
          <w:i w:val="false"/>
          <w:iCs w:val="false"/>
          <w:caps w:val="false"/>
          <w:color w:val="44403c"/>
          <w:sz w:val="21"/>
          <w:szCs w:val="21"/>
        </w:rPr>
        <w:t xml:space="preserve"> </w:t>
      </w:r>
      <w:r>
        <w:rPr>
          <w:b w:val="false"/>
          <w:bCs w:val="false"/>
          <w:i w:val="false"/>
          <w:iCs w:val="false"/>
          <w:caps w:val="false"/>
          <w:color w:val="44403c"/>
          <w:sz w:val="21"/>
          <w:szCs w:val="21"/>
        </w:rPr>
        <w:t xml:space="preserve">Pipeline AI summaries</w:t>
      </w:r>
    </w:p>
    <w:p>
      <w:pPr>
        <w:pStyle w:val="ListBullet"/>
        <w:numPr>
          <w:ilvl w:val="0"/>
          <w:numId w:val="2"/>
        </w:numPr>
        <w:spacing w:after="0" w:before="0" w:line="294" w:lineRule="exact"/>
        <w:contextualSpacing/>
        <w:jc w:val="left"/>
      </w:pPr>
      <w:r>
        <w:rPr>
          <w:b w:val="false"/>
          <w:bCs w:val="false"/>
          <w:i w:val="false"/>
          <w:iCs w:val="false"/>
          <w:caps w:val="false"/>
          <w:color w:val="92400e"/>
          <w:sz w:val="17"/>
          <w:szCs w:val="17"/>
          <w:shd w:fill="FDE68A" w:color="auto" w:val="clear"/>
        </w:rPr>
        <w:t xml:space="preserve">BUILDING</w:t>
      </w:r>
      <w:r>
        <w:rPr>
          <w:b w:val="false"/>
          <w:bCs w:val="false"/>
          <w:i w:val="false"/>
          <w:iCs w:val="false"/>
          <w:caps w:val="false"/>
          <w:color w:val="44403c"/>
          <w:sz w:val="21"/>
          <w:szCs w:val="21"/>
        </w:rPr>
        <w:t xml:space="preserve"> </w:t>
      </w:r>
      <w:r>
        <w:rPr>
          <w:b w:val="false"/>
          <w:bCs w:val="false"/>
          <w:i w:val="false"/>
          <w:iCs w:val="false"/>
          <w:caps w:val="false"/>
          <w:color w:val="44403c"/>
          <w:sz w:val="21"/>
          <w:szCs w:val="21"/>
        </w:rPr>
        <w:t xml:space="preserve">Mobile offline mode</w:t>
      </w:r>
    </w:p>
    <w:p>
      <w:pPr>
        <w:pStyle w:val="ListBullet"/>
        <w:numPr>
          <w:ilvl w:val="0"/>
          <w:numId w:val="2"/>
        </w:numPr>
        <w:spacing w:after="0" w:before="0" w:line="294" w:lineRule="exact"/>
        <w:contextualSpacing/>
        <w:jc w:val="left"/>
      </w:pPr>
      <w:r>
        <w:rPr>
          <w:b w:val="false"/>
          <w:bCs w:val="false"/>
          <w:i w:val="false"/>
          <w:iCs w:val="false"/>
          <w:caps w:val="false"/>
          <w:color w:val="57534e"/>
          <w:sz w:val="17"/>
          <w:szCs w:val="17"/>
          <w:shd w:fill="E7E5E4" w:color="auto" w:val="clear"/>
        </w:rPr>
        <w:t xml:space="preserve">PLANNED</w:t>
      </w:r>
      <w:r>
        <w:rPr>
          <w:b w:val="false"/>
          <w:bCs w:val="false"/>
          <w:i w:val="false"/>
          <w:iCs w:val="false"/>
          <w:caps w:val="false"/>
          <w:color w:val="44403c"/>
          <w:sz w:val="21"/>
          <w:szCs w:val="21"/>
        </w:rPr>
        <w:t xml:space="preserve"> </w:t>
      </w:r>
      <w:r>
        <w:rPr>
          <w:b w:val="false"/>
          <w:bCs w:val="false"/>
          <w:i w:val="false"/>
          <w:iCs w:val="false"/>
          <w:caps w:val="false"/>
          <w:color w:val="44403c"/>
          <w:sz w:val="21"/>
          <w:szCs w:val="21"/>
        </w:rPr>
        <w:t xml:space="preserve">Enterprise SSO &amp; audit log</w:t>
      </w:r>
    </w:p>
    <w:p>
      <w:pPr>
        <w:spacing w:after="210" w:before="0" w:line="20" w:lineRule="exact"/>
      </w:pPr>
      <w:r>
        <w:rPr>
          <w:sz w:val="21"/>
          <w:szCs w:val="21"/>
        </w:rPr>
        <w:t xml:space="preserve"/>
      </w:r>
    </w:p>
    <w:p>
      <w:pPr>
        <w:spacing w:after="195" w:before="195" w:line="280" w:lineRule="atLeast"/>
        <w:jc w:val="left"/>
        <w:textAlignment w:val="center"/>
      </w:pPr>
      <w:r>
        <w:rPr>
          <w:b w:val="false"/>
          <w:bCs w:val="false"/>
          <w:i w:val="false"/>
          <w:iCs w:val="false"/>
          <w:caps w:val="false"/>
          <w:color w:val="1d3557"/>
          <w:sz w:val="20"/>
          <w:szCs w:val="20"/>
        </w:rPr>
        <w:t xml:space="preserve">Owner: </w:t>
      </w:r>
      <w:r>
        <w:rPr>
          <w:b/>
          <w:bCs/>
          <w:i w:val="false"/>
          <w:iCs w:val="false"/>
          <w:caps w:val="false"/>
          <w:color w:val="1d3557"/>
          <w:sz w:val="20"/>
          <w:szCs w:val="20"/>
        </w:rPr>
        <w:t xml:space="preserve">Jordan Lee</w:t>
      </w:r>
      <w:r>
        <w:rPr>
          <w:b w:val="false"/>
          <w:bCs w:val="false"/>
          <w:i w:val="false"/>
          <w:iCs w:val="false"/>
          <w:caps w:val="false"/>
          <w:color w:val="1d3557"/>
          <w:sz w:val="20"/>
          <w:szCs w:val="20"/>
        </w:rPr>
        <w:t xml:space="preserve"> </w:t>
      </w:r>
      <w:r>
        <w:rPr>
          <w:b w:val="false"/>
          <w:bCs w:val="false"/>
          <w:i w:val="false"/>
          <w:iCs w:val="false"/>
          <w:caps w:val="false"/>
          <w:color w:val="1d3557"/>
          <w:sz w:val="20"/>
          <w:szCs w:val="20"/>
        </w:rPr>
        <w:t xml:space="preserve">·</w:t>
      </w:r>
      <w:r>
        <w:rPr>
          <w:b w:val="false"/>
          <w:bCs w:val="false"/>
          <w:i w:val="false"/>
          <w:iCs w:val="false"/>
          <w:caps w:val="false"/>
          <w:color w:val="1d3557"/>
          <w:sz w:val="20"/>
          <w:szCs w:val="20"/>
        </w:rPr>
        <w:t xml:space="preserve"> </w:t>
      </w:r>
      <w:hyperlink w:history="1" r:id="rId-egmtacqsym9bjqyqib5s">
        <w:r>
          <w:rPr>
            <w:rStyle w:val="Hyperlink"/>
            <w:b w:val="false"/>
            <w:bCs w:val="false"/>
            <w:i w:val="false"/>
            <w:iCs w:val="false"/>
            <w:caps w:val="false"/>
            <w:color w:val="457b9d"/>
            <w:sz w:val="20"/>
            <w:szCs w:val="20"/>
            <w:u w:val="single" w:color="457b9d"/>
          </w:rPr>
          <w:t xml:space="preserve">launch@example.com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◦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•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◦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•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3" w15:restartNumberingAfterBreak="0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decimal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decimal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decimal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decimal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4" w15:restartNumberingAfterBreak="0">
    <w:multiLevelType w:val="hybridMultilevel"/>
    <w:lvl w:ilvl="0">
      <w:start w:val="1"/>
      <w:numFmt w:val="lowerLetter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lowerLetter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lowerLetter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lowerLetter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lowerLetter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5" w15:restartNumberingAfterBreak="0">
    <w:multiLevelType w:val="hybridMultilevel"/>
    <w:lvl w:ilvl="0">
      <w:start w:val="1"/>
      <w:numFmt w:val="upperLetter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upperLetter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upperLetter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upperLetter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upperLetter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6" w15:restartNumberingAfterBreak="0">
    <w:multiLevelType w:val="hybridMultilevel"/>
    <w:lvl w:ilvl="0">
      <w:start w:val="1"/>
      <w:numFmt w:val="lowerRoman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lowerRoman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lowerRoman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lowerRoman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lowerRoman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7" w15:restartNumberingAfterBreak="0">
    <w:multiLevelType w:val="hybridMultilevel"/>
    <w:lvl w:ilvl="0">
      <w:start w:val="1"/>
      <w:numFmt w:val="upperRoman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upperRoman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upperRoman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upperRoman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upperRoman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8" w15:restartNumberingAfterBreak="0">
    <w:multiLevelType w:val="hybridMultilevel"/>
    <w:lvl w:ilvl="0">
      <w:start w:val="1"/>
      <w:numFmt w:val="bullet"/>
      <w:suff w:val="tab"/>
      <w:lvlText w:val="◦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◦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◦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◦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◦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9" w15:restartNumberingAfterBreak="0">
    <w:multiLevelType w:val="hybridMultilevel"/>
    <w:lvl w:ilvl="0">
      <w:start w:val="1"/>
      <w:numFmt w:val="bullet"/>
      <w:suff w:val="tab"/>
      <w:lvlText w:val="▪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▪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▪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▪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▪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ListNumber">
    <w:name w:val="List Number"/>
    <w:basedOn w:val="Normal"/>
    <w:next w:val="Normal"/>
    <w:qFormat/>
    <w:rPr>
      <w:rFonts w:ascii="Arial" w:cs="Arial" w:eastAsia="Arial" w:hAnsi="Arial"/>
      <w:sz w:val="21"/>
      <w:szCs w:val="21"/>
    </w:rPr>
  </w:style>
  <w:style w:type="paragraph" w:styleId="ListBullet">
    <w:name w:val="List Bullet"/>
    <w:basedOn w:val="Normal"/>
    <w:next w:val="Normal"/>
    <w:qFormat/>
    <w:rPr>
      <w:rFonts w:ascii="Arial" w:cs="Arial" w:eastAsia="Arial" w:hAnsi="Arial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egmtacqsym9bjqyqib5s" Type="http://schemas.openxmlformats.org/officeDocument/2006/relationships/hyperlink" Target="mailto:launch@example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2026-07-21T01:52:24.755Z</dcterms:created>
  <dcterms:modified xsi:type="dcterms:W3CDTF">2026-07-21T01:52:24.755Z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