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38" w:lineRule="atLeast"/>
        <w:textAlignment w:val="center"/>
      </w:pPr>
      <w:r>
        <w:rPr>
          <w:rFonts w:ascii="Georgia" w:cs="Georgia" w:eastAsia="Georgia" w:hAnsi="Georgia"/>
          <w:caps/>
          <w:color w:val="78716c"/>
          <w:spacing w:val="20"/>
          <w:sz w:val="17"/>
          <w:szCs w:val="17"/>
        </w:rPr>
        <w:t xml:space="preserve">Audited · Form 10-Q excerpt</w:t>
      </w:r>
    </w:p>
    <w:p>
      <w:pPr>
        <w:pStyle w:val="Heading1"/>
        <w:spacing w:after="60" w:before="195" w:line="546" w:lineRule="atLeast"/>
        <w:textAlignment w:val="center"/>
      </w:pPr>
      <w:r>
        <w:rPr>
          <w:rFonts w:ascii="Georgia" w:cs="Georgia" w:eastAsia="Georgia" w:hAnsi="Georgia"/>
          <w:b/>
          <w:bCs/>
          <w:color w:val="14532d"/>
          <w:sz w:val="39"/>
          <w:szCs w:val="39"/>
        </w:rPr>
        <w:t xml:space="preserve">Meridian Analytics, Inc.</w:t>
      </w:r>
    </w:p>
    <w:p>
      <w:pPr>
        <w:pBdr>
          <w:bottom w:val="single" w:color="ca8a04" w:sz="12" w:space="6"/>
        </w:pBdr>
        <w:spacing w:after="360" w:line="280" w:lineRule="atLeast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Condensed Income Statement · Quarter ended March 31, 2026 · (USD, thousands) 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4125"/>
        <w:gridCol w:w="1856"/>
        <w:gridCol w:w="1856"/>
        <w:gridCol w:w="1523"/>
      </w:tblGrid>
      <w:tr>
        <w:tc>
          <w:tcPr>
            <w:tcW w:type="dxa" w:w="4125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Line item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2026</w:t>
            </w:r>
          </w:p>
        </w:tc>
        <w:tc>
          <w:tcPr>
            <w:tcW w:type="dxa" w:w="1856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Q1 2025</w:t>
            </w:r>
          </w:p>
        </w:tc>
        <w:tc>
          <w:tcPr>
            <w:tcW w:type="dxa" w:w="1523"/>
            <w:shd w:fill="14532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ef9c3"/>
                <w:sz w:val="20"/>
                <w:szCs w:val="20"/>
              </w:rPr>
              <w:t xml:space="preserve">YoY 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$48,320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$41,180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color w:val="15803d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Cost of revenue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($14,896)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($13,574)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+9.7%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$33,424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$27,606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+21.1%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($9,664)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($8,236)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Research &amp; development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($7,248)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($6,177)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General &amp; administrative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($4,832)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($4,118)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+17.3%</w:t>
            </w:r>
          </w:p>
        </w:tc>
      </w:tr>
      <w:tr>
        <w:tc>
          <w:tcPr>
            <w:tcW w:type="dxa" w:w="4125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Operating income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$11,680</w:t>
            </w:r>
          </w:p>
        </w:tc>
        <w:tc>
          <w:tcPr>
            <w:tcW w:type="dxa" w:w="1856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$9,075</w:t>
            </w:r>
          </w:p>
        </w:tc>
        <w:tc>
          <w:tcPr>
            <w:tcW w:type="dxa" w:w="1523"/>
            <w:shd w:fill="ecfdf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+28.7%</w:t>
            </w:r>
          </w:p>
        </w:tc>
      </w:tr>
      <w:tr>
        <w:tc>
          <w:tcPr>
            <w:tcW w:type="dxa" w:w="4125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Interest &amp; other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($412)</w:t>
            </w:r>
          </w:p>
        </w:tc>
        <w:tc>
          <w:tcPr>
            <w:tcW w:type="dxa" w:w="185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($388)</w:t>
            </w:r>
          </w:p>
        </w:tc>
        <w:tc>
          <w:tcPr>
            <w:tcW w:type="dxa" w:w="152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+6.2%</w:t>
            </w:r>
          </w:p>
        </w:tc>
      </w:tr>
      <w:tr>
        <w:tc>
          <w:tcPr>
            <w:tcW w:type="dxa" w:w="4125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Net income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$11,268</w:t>
            </w:r>
          </w:p>
        </w:tc>
        <w:tc>
          <w:tcPr>
            <w:tcW w:type="dxa" w:w="1856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$8,687</w:t>
            </w:r>
          </w:p>
        </w:tc>
        <w:tc>
          <w:tcPr>
            <w:tcW w:type="dxa" w:w="1523"/>
            <w:shd w:fill="fef9c3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5803d"/>
                <w:sz w:val="20"/>
                <w:szCs w:val="20"/>
              </w:rPr>
              <w:t xml:space="preserve">+29.7%</w:t>
            </w:r>
          </w:p>
        </w:tc>
      </w:tr>
    </w:tbl>
    <w:p>
      <w:pPr>
        <w:spacing w:after="170" w:before="180" w:line="238" w:lineRule="atLeast"/>
        <w:textAlignment w:val="center"/>
      </w:pP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Non-GAAP adjustments excluded. Prepared by Finance ·</w:t>
      </w:r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 </w:t>
      </w:r>
      <w:hyperlink w:history="1" r:id="rId50zcwagbq85z87h42jbji">
        <w:r>
          <w:rPr>
            <w:rStyle w:val="Hyperlink"/>
            <w:rFonts w:ascii="Georgia" w:cs="Georgia" w:eastAsia="Georgia" w:hAnsi="Georgia"/>
            <w:i/>
            <w:iCs/>
            <w:color w:val="14532d"/>
            <w:sz w:val="17"/>
            <w:szCs w:val="17"/>
            <w:u w:val="single" w:color="14532d"/>
          </w:rPr>
          <w:t xml:space="preserve">full 10-Q draft</w:t>
        </w:r>
      </w:hyperlink>
      <w:r>
        <w:rPr>
          <w:rFonts w:ascii="Georgia" w:cs="Georgia" w:eastAsia="Georgia" w:hAnsi="Georgia"/>
          <w:i/>
          <w:iCs/>
          <w:color w:val="78716c"/>
          <w:sz w:val="17"/>
          <w:szCs w:val="17"/>
        </w:rPr>
        <w:t xml:space="preserve">.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0zcwagbq85z87h42jbji" Type="http://schemas.openxmlformats.org/officeDocument/2006/relationships/hyperlink" Target="#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2026-07-21T01:52:17.206Z</dcterms:created>
  <dcterms:modified xsi:type="dcterms:W3CDTF">2026-07-21T01:52:17.207Z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