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165" w:line="462" w:lineRule="atLeast"/>
        <w:textAlignment w:val="center"/>
      </w:pPr>
      <w:r>
        <w:rPr>
          <w:b/>
          <w:bCs/>
          <w:color w:val="1d3557"/>
          <w:sz w:val="33"/>
          <w:szCs w:val="33"/>
        </w:rPr>
        <w:t xml:space="preserve">Q3 Performance</w:t>
      </w:r>
    </w:p>
    <w:p>
      <w:pPr>
        <w:spacing w:after="240" w:line="280" w:lineRule="atLeast"/>
        <w:textAlignment w:val="center"/>
      </w:pPr>
      <w:r>
        <w:rPr>
          <w:color w:val="5b6b7c"/>
          <w:sz w:val="20"/>
          <w:szCs w:val="20"/>
        </w:rPr>
        <w:t xml:space="preserve">July – September 2026 · company-wide metrics</w:t>
      </w:r>
    </w:p>
    <w:tbl>
      <w:tblPr>
        <w:tblW w:type="dxa" w:w="9179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229"/>
        <w:gridCol w:w="240"/>
        <w:gridCol w:w="4710"/>
      </w:tblGrid>
      <w:tr>
        <w:trPr>
          <w:trHeight w:val="1642" w:hRule="atLeast"/>
        </w:trPr>
        <w:tc>
          <w:tcPr>
            <w:tcW w:type="dxa" w:w="4229"/>
            <w:tcBorders>
              <w:top w:val="none" w:color="auto" w:sz="0"/>
              <w:left w:val="single" w:color="457b9d" w:sz="24" w:space="14"/>
              <w:bottom w:val="none" w:color="auto" w:sz="0"/>
              <w:right w:val="none" w:color="auto" w:sz="0"/>
            </w:tcBorders>
            <w:shd w:fill="f0f7ff" w:color="auto" w:val="clear"/>
            <w:tcMar>
              <w:top w:type="dxa" w:w="240"/>
              <w:left w:type="dxa" w:w="270"/>
              <w:bottom w:type="dxa" w:w="240"/>
              <w:right w:type="dxa" w:w="270"/>
            </w:tcMar>
            <w:vAlign w:val="top"/>
          </w:tcPr>
          <w:p>
            <w:pPr>
              <w:spacing w:after="0" w:before="0" w:line="252" w:lineRule="exact"/>
            </w:pPr>
            <w:r>
              <w:rPr>
                <w:b/>
                <w:bCs/>
                <w:color w:val="5b6b7c"/>
                <w:sz w:val="18"/>
                <w:szCs w:val="18"/>
              </w:rPr>
              <w:t xml:space="preserve">REVENUE</w:t>
            </w:r>
          </w:p>
          <w:p>
            <w:pPr>
              <w:spacing w:after="0" w:before="0" w:line="630" w:lineRule="exact"/>
            </w:pPr>
            <w:r>
              <w:rPr>
                <w:b/>
                <w:bCs/>
                <w:color w:val="1d3557"/>
                <w:sz w:val="45"/>
                <w:szCs w:val="45"/>
              </w:rPr>
              <w:t xml:space="preserve">$2.4M</w:t>
            </w:r>
          </w:p>
          <w:p>
            <w:pPr>
              <w:spacing w:after="0" w:before="0" w:line="280" w:lineRule="exact"/>
            </w:pPr>
            <w:r>
              <w:rPr>
                <w:color w:val="2a9d8f"/>
                <w:sz w:val="20"/>
                <w:szCs w:val="20"/>
              </w:rPr>
              <w:t xml:space="preserve">▲ 12% vs last quarter</w:t>
            </w:r>
          </w:p>
        </w:tc>
        <w:tc>
          <w:tcPr>
            <w:tcW w:type="dxa" w:w="240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710"/>
            <w:tcBorders>
              <w:top w:val="none" w:color="auto" w:sz="0"/>
              <w:left w:val="single" w:color="e76f51" w:sz="24" w:space="14"/>
              <w:bottom w:val="none" w:color="auto" w:sz="0"/>
              <w:right w:val="none" w:color="auto" w:sz="0"/>
            </w:tcBorders>
            <w:shd w:fill="f0f7ff" w:color="auto" w:val="clear"/>
            <w:tcMar>
              <w:top w:type="dxa" w:w="240"/>
              <w:left w:type="dxa" w:w="270"/>
              <w:bottom w:type="dxa" w:w="240"/>
              <w:right w:type="dxa" w:w="270"/>
            </w:tcMar>
            <w:vAlign w:val="top"/>
          </w:tcPr>
          <w:p>
            <w:pPr>
              <w:spacing w:after="0" w:before="0" w:line="252" w:lineRule="exact"/>
            </w:pPr>
            <w:r>
              <w:rPr>
                <w:b/>
                <w:bCs/>
                <w:color w:val="5b6b7c"/>
                <w:sz w:val="18"/>
                <w:szCs w:val="18"/>
              </w:rPr>
              <w:t xml:space="preserve">ACTIVE USERS</w:t>
            </w:r>
          </w:p>
          <w:p>
            <w:pPr>
              <w:spacing w:after="0" w:before="0" w:line="630" w:lineRule="exact"/>
            </w:pPr>
            <w:r>
              <w:rPr>
                <w:b/>
                <w:bCs/>
                <w:color w:val="1d3557"/>
                <w:sz w:val="45"/>
                <w:szCs w:val="45"/>
              </w:rPr>
              <w:t xml:space="preserve">18,204</w:t>
            </w:r>
          </w:p>
          <w:p>
            <w:pPr>
              <w:spacing w:after="0" w:before="0" w:line="280" w:lineRule="exact"/>
            </w:pPr>
            <w:r>
              <w:rPr>
                <w:color w:val="e63946"/>
                <w:sz w:val="20"/>
                <w:szCs w:val="20"/>
              </w:rPr>
              <w:t xml:space="preserve">▼ 3% vs last quarter</w:t>
            </w:r>
          </w:p>
        </w:tc>
      </w:tr>
    </w:tbl>
    <w:p>
      <w:pPr>
        <w:spacing w:after="300" w:before="0" w:line="20" w:lineRule="exact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115" w:line="322" w:lineRule="atLeast"/>
        <w:textAlignment w:val="center"/>
      </w:pPr>
      <w:r>
        <w:rPr>
          <w:b/>
          <w:bCs/>
          <w:color w:val="1d3557"/>
          <w:sz w:val="23"/>
          <w:szCs w:val="23"/>
        </w:rPr>
        <w:t xml:space="preserve">Revenue by channel</w:t>
      </w:r>
    </w:p>
    <w:tbl>
      <w:tblPr>
        <w:tblW w:type="pct" w:w="100%"/>
        <w:tblBorders>
          <w:top w:val="single" w:color="eeeeee" w:sz="2"/>
          <w:left w:val="single" w:color="eeeeee" w:sz="2"/>
          <w:bottom w:val="single" w:color="eeeeee" w:sz="2"/>
          <w:right w:val="single" w:color="eeeeee" w:sz="2"/>
          <w:insideH w:val="single" w:color="eeeeee" w:sz="2"/>
          <w:insideV w:val="single" w:color="eeeeee" w:sz="2"/>
        </w:tblBorders>
        <w:tblLayout w:type="fixed"/>
      </w:tblPr>
      <w:tblGrid>
        <w:gridCol w:w="4161"/>
        <w:gridCol w:w="2662"/>
        <w:gridCol w:w="2537"/>
      </w:tblGrid>
      <w:tr>
        <w:tc>
          <w:tcPr>
            <w:tcW w:type="dxa" w:w="4161"/>
            <w:shd w:fill="1d355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662"/>
            <w:shd w:fill="1d355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2537"/>
            <w:shd w:fill="1d355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</w:tr>
      <w:tr>
        <w:tc>
          <w:tcPr>
            <w:tcW w:type="dxa" w:w="4161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sz w:val="20"/>
                <w:szCs w:val="20"/>
              </w:rPr>
              <w:t xml:space="preserve">Direct sales</w:t>
            </w:r>
          </w:p>
        </w:tc>
        <w:tc>
          <w:tcPr>
            <w:tcW w:type="dxa" w:w="266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sz w:val="20"/>
                <w:szCs w:val="20"/>
              </w:rPr>
              <w:t xml:space="preserve">$1.1M</w:t>
            </w:r>
          </w:p>
        </w:tc>
        <w:tc>
          <w:tcPr>
            <w:tcW w:type="dxa" w:w="2537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sz w:val="20"/>
                <w:szCs w:val="20"/>
              </w:rPr>
              <w:t xml:space="preserve">46%</w:t>
            </w:r>
          </w:p>
        </w:tc>
      </w:tr>
      <w:tr>
        <w:tc>
          <w:tcPr>
            <w:tcW w:type="dxa" w:w="4161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sz w:val="20"/>
                <w:szCs w:val="20"/>
              </w:rPr>
              <w:t xml:space="preserve">Self-serve</w:t>
            </w:r>
          </w:p>
        </w:tc>
        <w:tc>
          <w:tcPr>
            <w:tcW w:type="dxa" w:w="266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sz w:val="20"/>
                <w:szCs w:val="20"/>
              </w:rPr>
              <w:t xml:space="preserve">$820K</w:t>
            </w:r>
          </w:p>
        </w:tc>
        <w:tc>
          <w:tcPr>
            <w:tcW w:type="dxa" w:w="2537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sz w:val="20"/>
                <w:szCs w:val="20"/>
              </w:rPr>
              <w:t xml:space="preserve">34%</w:t>
            </w:r>
          </w:p>
        </w:tc>
      </w:tr>
      <w:tr>
        <w:tc>
          <w:tcPr>
            <w:tcW w:type="dxa" w:w="4161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sz w:val="20"/>
                <w:szCs w:val="20"/>
              </w:rPr>
              <w:t xml:space="preserve">Partners</w:t>
            </w:r>
          </w:p>
        </w:tc>
        <w:tc>
          <w:tcPr>
            <w:tcW w:type="dxa" w:w="266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sz w:val="20"/>
                <w:szCs w:val="20"/>
              </w:rPr>
              <w:t xml:space="preserve">$480K</w:t>
            </w:r>
          </w:p>
        </w:tc>
        <w:tc>
          <w:tcPr>
            <w:tcW w:type="dxa" w:w="2537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sz w:val="20"/>
                <w:szCs w:val="20"/>
              </w:rPr>
              <w:t xml:space="preserve">20%</w:t>
            </w:r>
          </w:p>
        </w:tc>
      </w:tr>
    </w:tbl>
    <w:p>
      <w:pPr>
        <w:spacing w:after="180" w:before="180" w:line="252" w:lineRule="atLeast"/>
        <w:textAlignment w:val="center"/>
      </w:pPr>
      <w:r>
        <w:rPr>
          <w:color w:val="5b6b7c"/>
          <w:sz w:val="18"/>
          <w:szCs w:val="18"/>
        </w:rPr>
        <w:t xml:space="preserve">Note: user growth lagged plan in APAC; retention held steady at 91%.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2026-07-21T01:53:26.499Z</dcterms:created>
  <dcterms:modified xsi:type="dcterms:W3CDTF">2026-07-21T01:53:26.499Z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