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15e59" w:color="auto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pStyle w:val="Heading1"/>
              <w:spacing w:before="165" w:line="462" w:lineRule="atLeast"/>
              <w:jc w:val="left"/>
              <w:textAlignment w:val="center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33"/>
                <w:szCs w:val="33"/>
              </w:rPr>
              <w:t xml:space="preserve">Regional Sales Dashboard</w:t>
            </w:r>
          </w:p>
          <w:p>
            <w:pPr>
              <w:spacing w:before="90" w:line="252" w:lineRule="atLeast"/>
              <w:jc w:val="left"/>
              <w:textAlignment w:val="center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99f6e4"/>
                <w:sz w:val="18"/>
                <w:szCs w:val="18"/>
              </w:rPr>
              <w:t xml:space="preserve">March · USD millions</w:t>
            </w:r>
          </w:p>
        </w:tc>
      </w:tr>
    </w:tbl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80" w:before="180" w:line="252" w:lineRule="atLeast"/>
        <w:jc w:val="left"/>
        <w:textAlignment w:val="center"/>
      </w:pPr>
      <w:r>
        <w:rPr>
          <w:b w:val="false"/>
          <w:bCs w:val="false"/>
          <w:i w:val="false"/>
          <w:iCs w:val="false"/>
          <w:caps w:val="false"/>
          <w:color w:val="065f46"/>
          <w:sz w:val="18"/>
          <w:szCs w:val="18"/>
          <w:shd w:fill="D1FAE5" w:color="auto" w:val="clear"/>
        </w:rPr>
        <w:t xml:space="preserve">▲ Above plan</w:t>
      </w:r>
      <w:r>
        <w:rPr>
          <w:b w:val="false"/>
          <w:bCs w:val="false"/>
          <w:i w:val="false"/>
          <w:iCs w:val="false"/>
          <w:caps w:val="false"/>
          <w:color w:val="111111"/>
          <w:sz w:val="18"/>
          <w:szCs w:val="18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9d174d"/>
          <w:sz w:val="18"/>
          <w:szCs w:val="18"/>
          <w:shd w:fill="FCE7F3" w:color="auto" w:val="clear"/>
        </w:rPr>
        <w:t xml:space="preserve">▼ Below plan</w:t>
      </w:r>
    </w:p>
    <w:tbl>
      <w:tblPr>
        <w:tblW w:type="dxa" w:w="9360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1901"/>
        <w:gridCol w:w="1986"/>
        <w:gridCol w:w="1744"/>
        <w:gridCol w:w="1743"/>
        <w:gridCol w:w="1986"/>
      </w:tblGrid>
      <w:tr>
        <w:tc>
          <w:tcPr>
            <w:tcW w:type="dxa" w:w="1901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/>
                <w:bCs/>
                <w:i w:val="false"/>
                <w:iCs w:val="false"/>
                <w:caps w:val="false"/>
                <w:color w:val="f3e8ff"/>
                <w:sz w:val="20"/>
                <w:szCs w:val="20"/>
              </w:rPr>
              <w:t xml:space="preserve">Region</w:t>
            </w:r>
          </w:p>
        </w:tc>
        <w:tc>
          <w:tcPr>
            <w:tcW w:type="dxa" w:w="1986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3e8ff"/>
                <w:sz w:val="20"/>
                <w:szCs w:val="20"/>
              </w:rPr>
              <w:t xml:space="preserve">Actual</w:t>
            </w:r>
          </w:p>
        </w:tc>
        <w:tc>
          <w:tcPr>
            <w:tcW w:type="dxa" w:w="1744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3e8ff"/>
                <w:sz w:val="20"/>
                <w:szCs w:val="20"/>
              </w:rPr>
              <w:t xml:space="preserve">Plan</w:t>
            </w:r>
          </w:p>
        </w:tc>
        <w:tc>
          <w:tcPr>
            <w:tcW w:type="dxa" w:w="1743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3e8ff"/>
                <w:sz w:val="20"/>
                <w:szCs w:val="20"/>
              </w:rPr>
              <w:t xml:space="preserve">Δ</w:t>
            </w:r>
          </w:p>
        </w:tc>
        <w:tc>
          <w:tcPr>
            <w:tcW w:type="dxa" w:w="1986"/>
            <w:shd w:fill="581c87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3e8ff"/>
                <w:sz w:val="20"/>
                <w:szCs w:val="20"/>
              </w:rPr>
              <w:t xml:space="preserve">% plan</w:t>
            </w:r>
          </w:p>
        </w:tc>
      </w:tr>
      <w:tr>
        <w:tc>
          <w:tcPr>
            <w:tcW w:type="dxa" w:w="190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West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$2.41</w:t>
            </w:r>
          </w:p>
        </w:tc>
        <w:tc>
          <w:tcPr>
            <w:tcW w:type="dxa" w:w="1744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$2.20</w:t>
            </w:r>
          </w:p>
        </w:tc>
        <w:tc>
          <w:tcPr>
            <w:tcW w:type="dxa" w:w="174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059669"/>
                <w:sz w:val="20"/>
                <w:szCs w:val="20"/>
              </w:rPr>
              <w:t xml:space="preserve">+9.5%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065f46"/>
                <w:sz w:val="20"/>
                <w:szCs w:val="20"/>
                <w:shd w:fill="D1FAE5" w:color="auto" w:val="clear"/>
              </w:rPr>
              <w:t xml:space="preserve">110%</w:t>
            </w:r>
          </w:p>
        </w:tc>
      </w:tr>
      <w:tr>
        <w:tc>
          <w:tcPr>
            <w:tcW w:type="dxa" w:w="1901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East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$1.98</w:t>
            </w:r>
          </w:p>
        </w:tc>
        <w:tc>
          <w:tcPr>
            <w:tcW w:type="dxa" w:w="1744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$2.05</w:t>
            </w:r>
          </w:p>
        </w:tc>
        <w:tc>
          <w:tcPr>
            <w:tcW w:type="dxa" w:w="1743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db2777"/>
                <w:sz w:val="20"/>
                <w:szCs w:val="20"/>
              </w:rPr>
              <w:t xml:space="preserve">-3.4%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9d174d"/>
                <w:sz w:val="20"/>
                <w:szCs w:val="20"/>
                <w:shd w:fill="FCE7F3" w:color="auto" w:val="clear"/>
              </w:rPr>
              <w:t xml:space="preserve">97%</w:t>
            </w:r>
          </w:p>
        </w:tc>
      </w:tr>
      <w:tr>
        <w:tc>
          <w:tcPr>
            <w:tcW w:type="dxa" w:w="1901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EMEA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$1.62</w:t>
            </w:r>
          </w:p>
        </w:tc>
        <w:tc>
          <w:tcPr>
            <w:tcW w:type="dxa" w:w="1744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$1.50</w:t>
            </w:r>
          </w:p>
        </w:tc>
        <w:tc>
          <w:tcPr>
            <w:tcW w:type="dxa" w:w="174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059669"/>
                <w:sz w:val="20"/>
                <w:szCs w:val="20"/>
              </w:rPr>
              <w:t xml:space="preserve">+8.0%</w:t>
            </w:r>
          </w:p>
        </w:tc>
        <w:tc>
          <w:tcPr>
            <w:tcW w:type="dxa" w:w="1986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065f46"/>
                <w:sz w:val="20"/>
                <w:szCs w:val="20"/>
                <w:shd w:fill="D1FAE5" w:color="auto" w:val="clear"/>
              </w:rPr>
              <w:t xml:space="preserve">108%</w:t>
            </w:r>
          </w:p>
        </w:tc>
      </w:tr>
      <w:tr>
        <w:tc>
          <w:tcPr>
            <w:tcW w:type="dxa" w:w="1901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APAC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$1.15</w:t>
            </w:r>
          </w:p>
        </w:tc>
        <w:tc>
          <w:tcPr>
            <w:tcW w:type="dxa" w:w="1744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$1.20</w:t>
            </w:r>
          </w:p>
        </w:tc>
        <w:tc>
          <w:tcPr>
            <w:tcW w:type="dxa" w:w="1743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db2777"/>
                <w:sz w:val="20"/>
                <w:szCs w:val="20"/>
              </w:rPr>
              <w:t xml:space="preserve">-4.2%</w:t>
            </w:r>
          </w:p>
        </w:tc>
        <w:tc>
          <w:tcPr>
            <w:tcW w:type="dxa" w:w="1986"/>
            <w:shd w:fill="f0fd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 w:val="false"/>
                <w:bCs w:val="false"/>
                <w:i w:val="false"/>
                <w:iCs w:val="false"/>
                <w:caps w:val="false"/>
                <w:color w:val="9d174d"/>
                <w:sz w:val="20"/>
                <w:szCs w:val="20"/>
                <w:shd w:fill="FCE7F3" w:color="auto" w:val="clear"/>
              </w:rPr>
              <w:t xml:space="preserve">96%</w:t>
            </w:r>
          </w:p>
        </w:tc>
      </w:tr>
      <w:tr>
        <w:tc>
          <w:tcPr>
            <w:tcW w:type="dxa" w:w="1901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left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986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$7.16</w:t>
            </w:r>
          </w:p>
        </w:tc>
        <w:tc>
          <w:tcPr>
            <w:tcW w:type="dxa" w:w="1744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$6.95</w:t>
            </w:r>
          </w:p>
        </w:tc>
        <w:tc>
          <w:tcPr>
            <w:tcW w:type="dxa" w:w="1743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+3.0%</w:t>
            </w:r>
          </w:p>
        </w:tc>
        <w:tc>
          <w:tcPr>
            <w:tcW w:type="dxa" w:w="1986"/>
            <w:shd w:fill="115e59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103%</w:t>
            </w:r>
          </w:p>
        </w:tc>
      </w:tr>
    </w:tbl>
    <w:p>
      <w:pPr>
        <w:pStyle w:val="Heading2"/>
        <w:spacing w:before="300" w:line="280" w:lineRule="atLeast"/>
        <w:jc w:val="left"/>
        <w:textAlignment w:val="center"/>
      </w:pPr>
      <w:r>
        <w:rPr>
          <w:b/>
          <w:bCs/>
          <w:i w:val="false"/>
          <w:iCs w:val="false"/>
          <w:caps/>
          <w:color w:val="581c87"/>
          <w:sz w:val="20"/>
          <w:szCs w:val="20"/>
        </w:rPr>
        <w:t xml:space="preserve">Rep leaderboard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i w:val="false"/>
          <w:iCs w:val="false"/>
          <w:caps w:val="false"/>
          <w:color w:val="111111"/>
          <w:sz w:val="21"/>
          <w:szCs w:val="21"/>
        </w:rPr>
        <w:t xml:space="preserve">A. Chen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— 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$840k</w:t>
      </w:r>
      <w:r>
        <w:rPr>
          <w:b w:val="false"/>
          <w:bCs w:val="false"/>
          <w:i w:val="false"/>
          <w:iCs w:val="false"/>
          <w:caps w:val="false"/>
          <w:color w:val="059669"/>
          <w:sz w:val="21"/>
          <w:szCs w:val="21"/>
        </w:rPr>
        <w:t xml:space="preserve">(128% quota)</w:t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i w:val="false"/>
          <w:iCs w:val="false"/>
          <w:caps w:val="false"/>
          <w:color w:val="111111"/>
          <w:sz w:val="21"/>
          <w:szCs w:val="21"/>
        </w:rPr>
        <w:t xml:space="preserve">M. Ortiz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— 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$790k</w:t>
      </w:r>
      <w:r>
        <w:rPr>
          <w:b w:val="false"/>
          <w:bCs w:val="false"/>
          <w:i w:val="false"/>
          <w:iCs w:val="false"/>
          <w:caps w:val="false"/>
          <w:color w:val="059669"/>
          <w:sz w:val="21"/>
          <w:szCs w:val="21"/>
        </w:rPr>
        <w:t xml:space="preserve">(119% quota)</w:t>
      </w:r>
    </w:p>
    <w:p>
      <w:pPr>
        <w:pStyle w:val="ListNumber"/>
        <w:numPr>
          <w:ilvl w:val="0"/>
          <w:numId w:val="2"/>
        </w:numPr>
        <w:spacing w:after="0" w:before="0" w:line="294" w:lineRule="exact"/>
        <w:contextualSpacing/>
        <w:jc w:val="left"/>
      </w:pPr>
      <w:r>
        <w:rPr>
          <w:b/>
          <w:bCs/>
          <w:i w:val="false"/>
          <w:iCs w:val="false"/>
          <w:caps w:val="false"/>
          <w:color w:val="111111"/>
          <w:sz w:val="21"/>
          <w:szCs w:val="21"/>
        </w:rPr>
        <w:t xml:space="preserve">S. Patel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 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— </w:t>
      </w:r>
      <w:r>
        <w:rPr>
          <w:b w:val="false"/>
          <w:bCs w:val="false"/>
          <w:i w:val="false"/>
          <w:iCs w:val="false"/>
          <w:caps w:val="false"/>
          <w:color w:val="111111"/>
          <w:sz w:val="21"/>
          <w:szCs w:val="21"/>
        </w:rPr>
        <w:t xml:space="preserve">$755k</w:t>
      </w:r>
      <w:r>
        <w:rPr>
          <w:b w:val="false"/>
          <w:bCs w:val="false"/>
          <w:i w:val="false"/>
          <w:iCs w:val="false"/>
          <w:caps w:val="false"/>
          <w:color w:val="d97706"/>
          <w:sz w:val="21"/>
          <w:szCs w:val="21"/>
        </w:rPr>
        <w:t xml:space="preserve">(104% quota)</w:t>
      </w:r>
    </w:p>
    <w:p>
      <w:pPr>
        <w:spacing w:after="210" w:before="0" w:line="20" w:lineRule="exact"/>
      </w:pPr>
      <w:r>
        <w:rPr>
          <w:sz w:val="21"/>
          <w:szCs w:val="21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2026-07-21T01:52:41.346Z</dcterms:created>
  <dcterms:modified xsi:type="dcterms:W3CDTF">2026-07-21T01:52:41.346Z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