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 w:line="238" w:lineRule="atLeast"/>
        <w:jc w:val="center"/>
        <w:textAlignment w:val="center"/>
      </w:pPr>
      <w:r>
        <w:rPr>
          <w:rFonts w:ascii="Georgia" w:cs="Georgia" w:eastAsia="Georgia" w:hAnsi="Georgia"/>
          <w:caps/>
          <w:color w:val="78716c"/>
          <w:spacing w:val="24"/>
          <w:sz w:val="17"/>
          <w:szCs w:val="17"/>
        </w:rPr>
        <w:t xml:space="preserve">Master subscription agreement</w:t>
      </w:r>
    </w:p>
    <w:p>
      <w:pPr>
        <w:pStyle w:val="Heading1"/>
        <w:spacing w:after="60" w:before="165" w:line="462" w:lineRule="atLeast"/>
        <w:jc w:val="center"/>
        <w:textAlignment w:val="center"/>
      </w:pPr>
      <w:r>
        <w:rPr>
          <w:rFonts w:ascii="Georgia" w:cs="Georgia" w:eastAsia="Georgia" w:hAnsi="Georgia"/>
          <w:b/>
          <w:bCs/>
          <w:color w:val="292524"/>
          <w:sz w:val="33"/>
          <w:szCs w:val="33"/>
        </w:rPr>
        <w:t xml:space="preserve">Software Subscription Agreement</w:t>
      </w:r>
    </w:p>
    <w:p>
      <w:pPr>
        <w:pBdr>
          <w:bottom w:val="single" w:color="d6d3d1" w:sz="6" w:space="11"/>
        </w:pBdr>
        <w:spacing w:after="510" w:line="280" w:lineRule="atLeast"/>
        <w:jc w:val="center"/>
        <w:textAlignment w:val="center"/>
      </w:pPr>
      <w:r>
        <w:rPr>
          <w:rFonts w:ascii="Georgia" w:cs="Georgia" w:eastAsia="Georgia" w:hAnsi="Georgia"/>
          <w:color w:val="57534e"/>
          <w:sz w:val="20"/>
          <w:szCs w:val="20"/>
        </w:rPr>
        <w:t xml:space="preserve">Effective as of April 1 · Atlas CRM Enterprise </w:t>
      </w:r>
    </w:p>
    <w:p>
      <w:pPr>
        <w:spacing w:after="240" w:line="294" w:lineRule="atLeast"/>
        <w:textAlignment w:val="center"/>
      </w:pPr>
      <w:r>
        <w:rPr>
          <w:rFonts w:ascii="Georgia" w:cs="Georgia" w:eastAsia="Georgia" w:hAnsi="Georgia"/>
          <w:sz w:val="21"/>
          <w:szCs w:val="21"/>
        </w:rPr>
        <w:t xml:space="preserve">This Software Subscription Agreement ("Agreement") is entered into by and between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Meridian Analytics, Inc.</w:t>
      </w:r>
      <w:r>
        <w:rPr>
          <w:rFonts w:ascii="Georgia" w:cs="Georgia" w:eastAsia="Georgia" w:hAnsi="Georgia"/>
          <w:sz w:val="21"/>
          <w:szCs w:val="21"/>
        </w:rPr>
        <w:t xml:space="preserve"> </w:t>
      </w:r>
      <w:r>
        <w:rPr>
          <w:rFonts w:ascii="Georgia" w:cs="Georgia" w:eastAsia="Georgia" w:hAnsi="Georgia"/>
          <w:sz w:val="21"/>
          <w:szCs w:val="21"/>
        </w:rPr>
        <w:t xml:space="preserve">("Provider"), a Delaware corporation with offices at 1200 Market Street, San Francisco, CA, and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Northwind Traders LLC</w:t>
      </w:r>
      <w:r>
        <w:rPr>
          <w:rFonts w:ascii="Georgia" w:cs="Georgia" w:eastAsia="Georgia" w:hAnsi="Georgia"/>
          <w:sz w:val="21"/>
          <w:szCs w:val="21"/>
        </w:rPr>
        <w:t xml:space="preserve"> </w:t>
      </w:r>
      <w:r>
        <w:rPr>
          <w:rFonts w:ascii="Georgia" w:cs="Georgia" w:eastAsia="Georgia" w:hAnsi="Georgia"/>
          <w:sz w:val="21"/>
          <w:szCs w:val="21"/>
        </w:rPr>
        <w:t xml:space="preserve">("Customer"), with its principal place of business at 88 Harbor Way, Boston, MA. </w:t>
      </w:r>
    </w:p>
    <w:p>
      <w:pPr>
        <w:pStyle w:val="Heading2"/>
        <w:spacing w:after="120" w:before="300" w:line="322" w:lineRule="atLeast"/>
        <w:textAlignment w:val="center"/>
      </w:pPr>
      <w:r>
        <w:rPr>
          <w:rFonts w:ascii="Georgia" w:cs="Georgia" w:eastAsia="Georgia" w:hAnsi="Georgia"/>
          <w:b/>
          <w:bCs/>
          <w:color w:val="44403c"/>
          <w:sz w:val="23"/>
          <w:szCs w:val="23"/>
        </w:rPr>
        <w:t xml:space="preserve">1. Subscription &amp; access</w:t>
      </w:r>
    </w:p>
    <w:p>
      <w:pPr>
        <w:spacing w:after="180" w:line="294" w:lineRule="atLeast"/>
        <w:textAlignment w:val="center"/>
      </w:pPr>
      <w:r>
        <w:rPr>
          <w:rFonts w:ascii="Georgia" w:cs="Georgia" w:eastAsia="Georgia" w:hAnsi="Georgia"/>
          <w:sz w:val="21"/>
          <w:szCs w:val="21"/>
        </w:rPr>
        <w:t xml:space="preserve">Provider grants Customer a non-exclusive, non-transferable right to access the Atlas CRM platform for up to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250 named users</w:t>
      </w:r>
      <w:r>
        <w:rPr>
          <w:rFonts w:ascii="Georgia" w:cs="Georgia" w:eastAsia="Georgia" w:hAnsi="Georgia"/>
          <w:sz w:val="21"/>
          <w:szCs w:val="21"/>
        </w:rPr>
        <w:t xml:space="preserve"> </w:t>
      </w:r>
      <w:r>
        <w:rPr>
          <w:rFonts w:ascii="Georgia" w:cs="Georgia" w:eastAsia="Georgia" w:hAnsi="Georgia"/>
          <w:sz w:val="21"/>
          <w:szCs w:val="21"/>
        </w:rPr>
        <w:t xml:space="preserve">during the Initial Term. Customer may not sublicense, reverse engineer, or use the service to build a competing product. </w:t>
      </w:r>
    </w:p>
    <w:p>
      <w:pPr>
        <w:pStyle w:val="Heading2"/>
        <w:spacing w:after="120" w:before="300" w:line="322" w:lineRule="atLeast"/>
        <w:textAlignment w:val="center"/>
      </w:pPr>
      <w:r>
        <w:rPr>
          <w:rFonts w:ascii="Georgia" w:cs="Georgia" w:eastAsia="Georgia" w:hAnsi="Georgia"/>
          <w:b/>
          <w:bCs/>
          <w:color w:val="44403c"/>
          <w:sz w:val="23"/>
          <w:szCs w:val="23"/>
        </w:rPr>
        <w:t xml:space="preserve">2. Fees &amp; payment</w:t>
      </w:r>
    </w:p>
    <w:tbl>
      <w:tblPr>
        <w:tblW w:type="pct" w:w="100%"/>
        <w:tblBorders>
          <w:top w:val="single" w:color="eeeeee" w:sz="2"/>
          <w:left w:val="single" w:color="eeeeee" w:sz="2"/>
          <w:bottom w:val="single" w:color="eeeeee" w:sz="2"/>
          <w:right w:val="single" w:color="eeeeee" w:sz="2"/>
          <w:insideH w:val="single" w:color="eeeeee" w:sz="2"/>
          <w:insideV w:val="single" w:color="eeeeee" w:sz="2"/>
        </w:tblBorders>
        <w:tblLayout w:type="fixed"/>
      </w:tblPr>
      <w:tblGrid>
        <w:gridCol w:w="5958"/>
        <w:gridCol w:w="3402"/>
      </w:tblGrid>
      <w:tr>
        <w:tc>
          <w:tcPr>
            <w:tcW w:type="dxa" w:w="5958"/>
            <w:shd w:fill="44403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color w:val="fafaf9"/>
                <w:sz w:val="20"/>
                <w:szCs w:val="20"/>
              </w:rPr>
              <w:t xml:space="preserve">Item</w:t>
            </w:r>
          </w:p>
        </w:tc>
        <w:tc>
          <w:tcPr>
            <w:tcW w:type="dxa" w:w="3402"/>
            <w:shd w:fill="44403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afaf9"/>
                <w:sz w:val="20"/>
                <w:szCs w:val="20"/>
              </w:rPr>
              <w:t xml:space="preserve">Annual fee (USD)</w:t>
            </w:r>
          </w:p>
        </w:tc>
      </w:tr>
      <w:tr>
        <w:tc>
          <w:tcPr>
            <w:tcW w:type="dxa" w:w="5958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Atlas CRM Enterprise — 250 seats</w:t>
            </w:r>
          </w:p>
        </w:tc>
        <w:tc>
          <w:tcPr>
            <w:tcW w:type="dxa" w:w="340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$186,000</w:t>
            </w:r>
          </w:p>
        </w:tc>
      </w:tr>
      <w:tr>
        <w:tc>
          <w:tcPr>
            <w:tcW w:type="dxa" w:w="5958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Premium support (24×5)</w:t>
            </w:r>
          </w:p>
        </w:tc>
        <w:tc>
          <w:tcPr>
            <w:tcW w:type="dxa" w:w="3402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$24,000</w:t>
            </w:r>
          </w:p>
        </w:tc>
      </w:tr>
      <w:tr>
        <w:tc>
          <w:tcPr>
            <w:tcW w:type="dxa" w:w="5958"/>
            <w:shd w:fill="f5f5f4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Total annual fee</w:t>
            </w:r>
          </w:p>
        </w:tc>
        <w:tc>
          <w:tcPr>
            <w:tcW w:type="dxa" w:w="3402"/>
            <w:shd w:fill="f5f5f4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$210,000</w:t>
            </w:r>
          </w:p>
        </w:tc>
      </w:tr>
    </w:tbl>
    <w:p>
      <w:pPr>
        <w:spacing w:after="180" w:before="0" w:line="20" w:lineRule="exact"/>
      </w:pPr>
      <w:r>
        <w:rPr>
          <w:sz w:val="21"/>
          <w:szCs w:val="21"/>
        </w:rPr>
        <w:t xml:space="preserve"/>
      </w:r>
    </w:p>
    <w:p>
      <w:pPr>
        <w:spacing w:after="180" w:line="294" w:lineRule="atLeast"/>
        <w:textAlignment w:val="center"/>
      </w:pPr>
      <w:r>
        <w:rPr>
          <w:rFonts w:ascii="Georgia" w:cs="Georgia" w:eastAsia="Georgia" w:hAnsi="Georgia"/>
          <w:sz w:val="21"/>
          <w:szCs w:val="21"/>
        </w:rPr>
        <w:t xml:space="preserve">Fees are invoiced annually in advance, due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Net 30</w:t>
      </w:r>
      <w:r>
        <w:rPr>
          <w:rFonts w:ascii="Georgia" w:cs="Georgia" w:eastAsia="Georgia" w:hAnsi="Georgia"/>
          <w:sz w:val="21"/>
          <w:szCs w:val="21"/>
        </w:rPr>
        <w:t xml:space="preserve">. Late payments accrue interest at 1.5% per month. Customer is responsible for applicable sales and use taxes. </w:t>
      </w:r>
    </w:p>
    <w:p>
      <w:pPr>
        <w:pStyle w:val="Heading2"/>
        <w:spacing w:after="120" w:before="300" w:line="322" w:lineRule="atLeast"/>
        <w:textAlignment w:val="center"/>
      </w:pPr>
      <w:r>
        <w:rPr>
          <w:rFonts w:ascii="Georgia" w:cs="Georgia" w:eastAsia="Georgia" w:hAnsi="Georgia"/>
          <w:b/>
          <w:bCs/>
          <w:color w:val="44403c"/>
          <w:sz w:val="23"/>
          <w:szCs w:val="23"/>
        </w:rPr>
        <w:t xml:space="preserve">3. Term &amp; termination</w:t>
      </w:r>
    </w:p>
    <w:p>
      <w:pPr>
        <w:spacing w:after="180" w:line="294" w:lineRule="atLeast"/>
        <w:textAlignment w:val="center"/>
      </w:pPr>
      <w:r>
        <w:rPr>
          <w:rFonts w:ascii="Georgia" w:cs="Georgia" w:eastAsia="Georgia" w:hAnsi="Georgia"/>
          <w:sz w:val="21"/>
          <w:szCs w:val="21"/>
        </w:rPr>
        <w:t xml:space="preserve">The Initial Term is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twelve (12) months</w:t>
      </w:r>
      <w:r>
        <w:rPr>
          <w:rFonts w:ascii="Georgia" w:cs="Georgia" w:eastAsia="Georgia" w:hAnsi="Georgia"/>
          <w:sz w:val="21"/>
          <w:szCs w:val="21"/>
        </w:rPr>
        <w:t xml:space="preserve">, auto-renewing for successive one-year periods unless either party gives written notice at least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sixty (60) days</w:t>
      </w:r>
      <w:r>
        <w:rPr>
          <w:rFonts w:ascii="Georgia" w:cs="Georgia" w:eastAsia="Georgia" w:hAnsi="Georgia"/>
          <w:sz w:val="21"/>
          <w:szCs w:val="21"/>
        </w:rPr>
        <w:t xml:space="preserve"> </w:t>
      </w:r>
      <w:r>
        <w:rPr>
          <w:rFonts w:ascii="Georgia" w:cs="Georgia" w:eastAsia="Georgia" w:hAnsi="Georgia"/>
          <w:sz w:val="21"/>
          <w:szCs w:val="21"/>
        </w:rPr>
        <w:t xml:space="preserve">before renewal. Either party may terminate for material breach uncured within thirty (30) days of notice. </w:t>
      </w:r>
    </w:p>
    <w:p>
      <w:pPr>
        <w:pStyle w:val="Heading2"/>
        <w:spacing w:after="120" w:before="300" w:line="322" w:lineRule="atLeast"/>
        <w:textAlignment w:val="center"/>
      </w:pPr>
      <w:r>
        <w:rPr>
          <w:rFonts w:ascii="Georgia" w:cs="Georgia" w:eastAsia="Georgia" w:hAnsi="Georgia"/>
          <w:b/>
          <w:bCs/>
          <w:color w:val="44403c"/>
          <w:sz w:val="23"/>
          <w:szCs w:val="23"/>
        </w:rPr>
        <w:t xml:space="preserve">4. Confidentiality &amp; data</w:t>
      </w:r>
    </w:p>
    <w:p>
      <w:pPr>
        <w:spacing w:after="180" w:line="294" w:lineRule="atLeast"/>
        <w:textAlignment w:val="center"/>
      </w:pPr>
      <w:r>
        <w:rPr>
          <w:rFonts w:ascii="Georgia" w:cs="Georgia" w:eastAsia="Georgia" w:hAnsi="Georgia"/>
          <w:sz w:val="21"/>
          <w:szCs w:val="21"/>
        </w:rPr>
        <w:t xml:space="preserve">Each party shall protect the other's Confidential Information with reasonable care. Provider processes Customer data solely to deliver the service and maintains SOC 2 Type II controls. Upon termination, Provider will delete Customer data within ninety (90) days unless retention is required by law. </w:t>
      </w:r>
    </w:p>
    <w:p>
      <w:pPr>
        <w:pStyle w:val="Heading2"/>
        <w:spacing w:after="120" w:before="300" w:line="322" w:lineRule="atLeast"/>
        <w:textAlignment w:val="center"/>
      </w:pPr>
      <w:r>
        <w:rPr>
          <w:rFonts w:ascii="Georgia" w:cs="Georgia" w:eastAsia="Georgia" w:hAnsi="Georgia"/>
          <w:b/>
          <w:bCs/>
          <w:color w:val="44403c"/>
          <w:sz w:val="23"/>
          <w:szCs w:val="23"/>
        </w:rPr>
        <w:t xml:space="preserve">5. Limitation of liability</w:t>
      </w:r>
    </w:p>
    <w:p>
      <w:pPr>
        <w:spacing w:after="300" w:line="294" w:lineRule="atLeast"/>
        <w:textAlignment w:val="center"/>
      </w:pPr>
      <w:r>
        <w:rPr>
          <w:rFonts w:ascii="Georgia" w:cs="Georgia" w:eastAsia="Georgia" w:hAnsi="Georgia"/>
          <w:sz w:val="21"/>
          <w:szCs w:val="21"/>
        </w:rPr>
        <w:t xml:space="preserve">Except for breaches of confidentiality or indemnification obligations, neither party's aggregate liability shall exceed fees paid in the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twelve (12) months</w:t>
      </w:r>
      <w:r>
        <w:rPr>
          <w:rFonts w:ascii="Georgia" w:cs="Georgia" w:eastAsia="Georgia" w:hAnsi="Georgia"/>
          <w:sz w:val="21"/>
          <w:szCs w:val="21"/>
        </w:rPr>
        <w:t xml:space="preserve"> </w:t>
      </w:r>
      <w:r>
        <w:rPr>
          <w:rFonts w:ascii="Georgia" w:cs="Georgia" w:eastAsia="Georgia" w:hAnsi="Georgia"/>
          <w:sz w:val="21"/>
          <w:szCs w:val="21"/>
        </w:rPr>
        <w:t xml:space="preserve">preceding the claim. Neither party is liable for indirect, incidental, or consequential damages. </w:t>
      </w:r>
    </w:p>
    <w:p>
      <w:pPr>
        <w:spacing w:after="42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493"/>
        <w:gridCol w:w="374"/>
        <w:gridCol w:w="4493"/>
      </w:tblGrid>
      <w:tr>
        <w:tc>
          <w:tcPr>
            <w:tcW w:type="dxa" w:w="4493"/>
            <w:tcBorders>
              <w:top w:val="single" w:color="1c1917" w:sz="6"/>
            </w:tcBorders>
            <w:tcMar>
              <w:top w:type="dxa" w:w="60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Meridian Analytics, Inc.</w:t>
            </w:r>
          </w:p>
          <w:p>
            <w:pPr>
              <w:spacing w:after="0" w:before="120" w:line="280" w:lineRule="exact"/>
            </w:pPr>
            <w:r>
              <w:rPr>
                <w:rFonts w:ascii="Georgia" w:cs="Georgia" w:eastAsia="Georgia" w:hAnsi="Georgia"/>
                <w:color w:val="78716c"/>
                <w:sz w:val="20"/>
                <w:szCs w:val="20"/>
              </w:rPr>
              <w:t xml:space="preserve">By: _________________________</w:t>
            </w:r>
          </w:p>
          <w:p>
            <w:pPr>
              <w:spacing w:after="0" w:before="60" w:line="280" w:lineRule="exact"/>
            </w:pPr>
            <w:r>
              <w:rPr>
                <w:rFonts w:ascii="Georgia" w:cs="Georgia" w:eastAsia="Georgia" w:hAnsi="Georgia"/>
                <w:color w:val="78716c"/>
                <w:sz w:val="20"/>
                <w:szCs w:val="20"/>
              </w:rPr>
              <w:t xml:space="preserve">Name: Jordan Lee, VP Sales</w:t>
            </w:r>
          </w:p>
          <w:p>
            <w:pPr>
              <w:spacing w:after="0" w:before="60" w:line="280" w:lineRule="exact"/>
            </w:pPr>
            <w:r>
              <w:rPr>
                <w:rFonts w:ascii="Georgia" w:cs="Georgia" w:eastAsia="Georgia" w:hAnsi="Georgia"/>
                <w:color w:val="78716c"/>
                <w:sz w:val="20"/>
                <w:szCs w:val="20"/>
              </w:rPr>
              <w:t xml:space="preserve">Date: _________________________</w:t>
            </w:r>
          </w:p>
        </w:tc>
        <w:tc>
          <w:tcPr>
            <w:tcW w:type="dxa" w:w="374"/>
          </w:tcPr>
          <w:p>
            <w:pPr>
              <w:spacing w:after="0" w:before="0" w:line="280" w:lineRule="exact"/>
            </w:pPr>
            <w:r>
              <w:t xml:space="preserve"/>
            </w:r>
          </w:p>
        </w:tc>
        <w:tc>
          <w:tcPr>
            <w:tcW w:type="dxa" w:w="4493"/>
            <w:tcBorders>
              <w:top w:val="single" w:color="1c1917" w:sz="6"/>
            </w:tcBorders>
            <w:tcMar>
              <w:top w:type="dxa" w:w="60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80" w:lineRule="exact"/>
            </w:pPr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Northwind Traders LLC</w:t>
            </w:r>
          </w:p>
          <w:p>
            <w:pPr>
              <w:spacing w:after="0" w:before="120" w:line="280" w:lineRule="exact"/>
            </w:pPr>
            <w:r>
              <w:rPr>
                <w:rFonts w:ascii="Georgia" w:cs="Georgia" w:eastAsia="Georgia" w:hAnsi="Georgia"/>
                <w:color w:val="78716c"/>
                <w:sz w:val="20"/>
                <w:szCs w:val="20"/>
              </w:rPr>
              <w:t xml:space="preserve">By: _________________________</w:t>
            </w:r>
          </w:p>
          <w:p>
            <w:pPr>
              <w:spacing w:after="0" w:before="60" w:line="280" w:lineRule="exact"/>
            </w:pPr>
            <w:r>
              <w:rPr>
                <w:rFonts w:ascii="Georgia" w:cs="Georgia" w:eastAsia="Georgia" w:hAnsi="Georgia"/>
                <w:color w:val="78716c"/>
                <w:sz w:val="20"/>
                <w:szCs w:val="20"/>
              </w:rPr>
              <w:t xml:space="preserve">Name: _________________________</w:t>
            </w:r>
          </w:p>
          <w:p>
            <w:pPr>
              <w:spacing w:after="0" w:before="60" w:line="280" w:lineRule="exact"/>
            </w:pPr>
            <w:r>
              <w:rPr>
                <w:rFonts w:ascii="Georgia" w:cs="Georgia" w:eastAsia="Georgia" w:hAnsi="Georgia"/>
                <w:color w:val="78716c"/>
                <w:sz w:val="20"/>
                <w:szCs w:val="20"/>
              </w:rPr>
              <w:t xml:space="preserve">Date: _________________________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•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•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decimal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decimal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decimal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decimal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>
      <w:start w:val="1"/>
      <w:numFmt w:val="low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5" w15:restartNumberingAfterBreak="0">
    <w:multiLevelType w:val="hybridMultilevel"/>
    <w:lvl w:ilvl="0">
      <w:start w:val="1"/>
      <w:numFmt w:val="upp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6" w15:restartNumberingAfterBreak="0">
    <w:multiLevelType w:val="hybridMultilevel"/>
    <w:lvl w:ilvl="0">
      <w:start w:val="1"/>
      <w:numFmt w:val="low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7" w15:restartNumberingAfterBreak="0"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8" w15:restartNumberingAfterBreak="0">
    <w:multiLevelType w:val="hybridMultilevel"/>
    <w:lvl w:ilvl="0">
      <w:start w:val="1"/>
      <w:numFmt w:val="bullet"/>
      <w:suff w:val="tab"/>
      <w:lvlText w:val="◦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◦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◦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9" w15:restartNumberingAfterBreak="0">
    <w:multiLevelType w:val="hybridMultilevel"/>
    <w:lvl w:ilvl="0">
      <w:start w:val="1"/>
      <w:numFmt w:val="bullet"/>
      <w:suff w:val="tab"/>
      <w:lvlText w:val="▪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▪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▪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▪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▪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Number">
    <w:name w:val="List Number"/>
    <w:basedOn w:val="Normal"/>
    <w:next w:val="Normal"/>
    <w:qFormat/>
    <w:rPr>
      <w:rFonts w:ascii="Arial" w:cs="Arial" w:eastAsia="Arial" w:hAnsi="Arial"/>
      <w:sz w:val="21"/>
      <w:szCs w:val="21"/>
    </w:rPr>
  </w:style>
  <w:style w:type="paragraph" w:styleId="ListBullet">
    <w:name w:val="List Bullet"/>
    <w:basedOn w:val="Normal"/>
    <w:next w:val="Normal"/>
    <w:qFormat/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2026-07-21T01:53:14.616Z</dcterms:created>
  <dcterms:modified xsi:type="dcterms:W3CDTF">2026-07-21T01:53:14.616Z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