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38" w:lineRule="atLeast"/>
        <w:textAlignment w:val="center"/>
      </w:pPr>
      <w:r>
        <w:rPr>
          <w:rFonts w:ascii="Georgia" w:cs="Georgia" w:eastAsia="Georgia" w:hAnsi="Georgia"/>
          <w:caps/>
          <w:color w:val="78716c"/>
          <w:spacing w:val="20"/>
          <w:sz w:val="17"/>
          <w:szCs w:val="17"/>
        </w:rPr>
        <w:t xml:space="preserve">Unaudited · Form 10-Q excerpt</w:t>
      </w:r>
    </w:p>
    <w:p>
      <w:pPr>
        <w:pStyle w:val="Heading1"/>
        <w:spacing w:after="60" w:before="195" w:line="546" w:lineRule="atLeast"/>
        <w:textAlignment w:val="center"/>
      </w:pPr>
      <w:r>
        <w:rPr>
          <w:rFonts w:ascii="Georgia" w:cs="Georgia" w:eastAsia="Georgia" w:hAnsi="Georgia"/>
          <w:b/>
          <w:bCs/>
          <w:color w:val="1e3a5f"/>
          <w:sz w:val="39"/>
          <w:szCs w:val="39"/>
        </w:rPr>
        <w:t xml:space="preserve">Meridian Analytics, Inc.</w:t>
      </w:r>
    </w:p>
    <w:p>
      <w:pPr>
        <w:pBdr>
          <w:bottom w:val="single" w:color="1e3a5f" w:sz="12" w:space="6"/>
        </w:pBdr>
        <w:spacing w:after="360" w:line="280" w:lineRule="atLeast"/>
        <w:textAlignment w:val="center"/>
      </w:pPr>
      <w:r>
        <w:rPr>
          <w:rFonts w:ascii="Georgia" w:cs="Georgia" w:eastAsia="Georgia" w:hAnsi="Georgia"/>
          <w:color w:val="57534e"/>
          <w:sz w:val="20"/>
          <w:szCs w:val="20"/>
        </w:rPr>
        <w:t xml:space="preserve">Condensed Balance Sheet · As of March 31 · (USD, thousands) </w:t>
      </w:r>
    </w:p>
    <w:tbl>
      <w:tblPr>
        <w:tblW w:type="pct" w:w="100%"/>
        <w:tblBorders>
          <w:top w:val="single" w:color="eeeeee" w:sz="2"/>
          <w:left w:val="single" w:color="eeeeee" w:sz="2"/>
          <w:bottom w:val="single" w:color="eeeeee" w:sz="2"/>
          <w:right w:val="single" w:color="eeeeee" w:sz="2"/>
          <w:insideH w:val="single" w:color="eeeeee" w:sz="2"/>
          <w:insideV w:val="single" w:color="eeeeee" w:sz="2"/>
        </w:tblBorders>
        <w:tblLayout w:type="fixed"/>
      </w:tblPr>
      <w:tblGrid>
        <w:gridCol w:w="7560"/>
        <w:gridCol w:w="1800"/>
      </w:tblGrid>
      <w:tr>
        <w:tc>
          <w:tcPr>
            <w:tcW w:type="dxa" w:w="7560"/>
            <w:shd w:fill="1e3a5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e0f2fe"/>
                <w:sz w:val="20"/>
                <w:szCs w:val="20"/>
              </w:rPr>
              <w:t xml:space="preserve">Assets</w:t>
            </w:r>
          </w:p>
        </w:tc>
        <w:tc>
          <w:tcPr>
            <w:tcW w:type="dxa" w:w="1800"/>
            <w:shd w:fill="1e3a5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e0f2fe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Cash and cash equivalents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$18,420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Accounts receivable, net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$12,680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Prepaid expenses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$2,140</w:t>
            </w:r>
          </w:p>
        </w:tc>
      </w:tr>
      <w:tr>
        <w:tc>
          <w:tcPr>
            <w:tcW w:type="dxa" w:w="7560"/>
            <w:shd w:fill="f0f9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Total current assets</w:t>
            </w:r>
          </w:p>
        </w:tc>
        <w:tc>
          <w:tcPr>
            <w:tcW w:type="dxa" w:w="1800"/>
            <w:shd w:fill="f0f9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$33,240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Property and equipment, net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$4,890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Goodwill and intangibles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$8,200</w:t>
            </w:r>
          </w:p>
        </w:tc>
      </w:tr>
      <w:tr>
        <w:tc>
          <w:tcPr>
            <w:tcW w:type="dxa" w:w="7560"/>
            <w:shd w:fill="e0f2fe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Total assets</w:t>
            </w:r>
          </w:p>
        </w:tc>
        <w:tc>
          <w:tcPr>
            <w:tcW w:type="dxa" w:w="1800"/>
            <w:shd w:fill="e0f2fe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$46,330</w:t>
            </w:r>
          </w:p>
        </w:tc>
      </w:tr>
    </w:tbl>
    <w:p>
      <w:pPr>
        <w:spacing w:after="24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pct" w:w="100%"/>
        <w:tblBorders>
          <w:top w:val="single" w:color="eeeeee" w:sz="2"/>
          <w:left w:val="single" w:color="eeeeee" w:sz="2"/>
          <w:bottom w:val="single" w:color="eeeeee" w:sz="2"/>
          <w:right w:val="single" w:color="eeeeee" w:sz="2"/>
          <w:insideH w:val="single" w:color="eeeeee" w:sz="2"/>
          <w:insideV w:val="single" w:color="eeeeee" w:sz="2"/>
        </w:tblBorders>
        <w:tblLayout w:type="fixed"/>
      </w:tblPr>
      <w:tblGrid>
        <w:gridCol w:w="7560"/>
        <w:gridCol w:w="1800"/>
      </w:tblGrid>
      <w:tr>
        <w:tc>
          <w:tcPr>
            <w:tcW w:type="dxa" w:w="7560"/>
            <w:shd w:fill="1e3a5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e0f2fe"/>
                <w:sz w:val="20"/>
                <w:szCs w:val="20"/>
              </w:rPr>
              <w:t xml:space="preserve">Liabilities &amp; stockholders' equity</w:t>
            </w:r>
          </w:p>
        </w:tc>
        <w:tc>
          <w:tcPr>
            <w:tcW w:type="dxa" w:w="1800"/>
            <w:shd w:fill="1e3a5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e0f2fe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Accounts payable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$3,820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Accrued compensation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$2,940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Deferred revenue, current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$6,180</w:t>
            </w:r>
          </w:p>
        </w:tc>
      </w:tr>
      <w:tr>
        <w:tc>
          <w:tcPr>
            <w:tcW w:type="dxa" w:w="7560"/>
            <w:shd w:fill="f0f9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Total current liabilities</w:t>
            </w:r>
          </w:p>
        </w:tc>
        <w:tc>
          <w:tcPr>
            <w:tcW w:type="dxa" w:w="1800"/>
            <w:shd w:fill="f0f9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$12,940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Long-term debt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$5,000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Other long-term liabilities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$1,240</w:t>
            </w:r>
          </w:p>
        </w:tc>
      </w:tr>
      <w:tr>
        <w:tc>
          <w:tcPr>
            <w:tcW w:type="dxa" w:w="7560"/>
            <w:shd w:fill="f0f9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Total liabilities</w:t>
            </w:r>
          </w:p>
        </w:tc>
        <w:tc>
          <w:tcPr>
            <w:tcW w:type="dxa" w:w="1800"/>
            <w:shd w:fill="f0f9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$19,180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Common stock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$120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Additional paid-in capital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$18,600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Retained earnings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$8,430</w:t>
            </w:r>
          </w:p>
        </w:tc>
      </w:tr>
      <w:tr>
        <w:tc>
          <w:tcPr>
            <w:tcW w:type="dxa" w:w="7560"/>
            <w:shd w:fill="f0f9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Total stockholders' equity</w:t>
            </w:r>
          </w:p>
        </w:tc>
        <w:tc>
          <w:tcPr>
            <w:tcW w:type="dxa" w:w="1800"/>
            <w:shd w:fill="f0f9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$27,150</w:t>
            </w:r>
          </w:p>
        </w:tc>
      </w:tr>
      <w:tr>
        <w:tc>
          <w:tcPr>
            <w:tcW w:type="dxa" w:w="7560"/>
            <w:shd w:fill="e0f2fe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Total liabilities &amp; equity</w:t>
            </w:r>
          </w:p>
        </w:tc>
        <w:tc>
          <w:tcPr>
            <w:tcW w:type="dxa" w:w="1800"/>
            <w:shd w:fill="e0f2fe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$46,330</w:t>
            </w:r>
          </w:p>
        </w:tc>
      </w:tr>
    </w:tbl>
    <w:p>
      <w:pPr>
        <w:spacing w:after="170" w:before="180" w:line="238" w:lineRule="atLeast"/>
        <w:textAlignment w:val="center"/>
      </w:pPr>
      <w:r>
        <w:rPr>
          <w:rFonts w:ascii="Georgia" w:cs="Georgia" w:eastAsia="Georgia" w:hAnsi="Georgia"/>
          <w:i/>
          <w:iCs/>
          <w:color w:val="78716c"/>
          <w:sz w:val="17"/>
          <w:szCs w:val="17"/>
        </w:rPr>
        <w:t xml:space="preserve">See accompanying notes. Prepared by Finance ·</w:t>
      </w:r>
      <w:r>
        <w:rPr>
          <w:rFonts w:ascii="Georgia" w:cs="Georgia" w:eastAsia="Georgia" w:hAnsi="Georgia"/>
          <w:i/>
          <w:iCs/>
          <w:color w:val="78716c"/>
          <w:sz w:val="17"/>
          <w:szCs w:val="17"/>
        </w:rPr>
        <w:t xml:space="preserve"> </w:t>
      </w:r>
      <w:hyperlink w:history="1" r:id="rIdn7l6uoona2cdnf7ncyhex">
        <w:r>
          <w:rPr>
            <w:rStyle w:val="Hyperlink"/>
            <w:rFonts w:ascii="Georgia" w:cs="Georgia" w:eastAsia="Georgia" w:hAnsi="Georgia"/>
            <w:i/>
            <w:iCs/>
            <w:color w:val="1e3a5f"/>
            <w:sz w:val="17"/>
            <w:szCs w:val="17"/>
            <w:u w:val="single" w:color="1e3a5f"/>
          </w:rPr>
          <w:t xml:space="preserve">full 10-Q draft</w:t>
        </w:r>
      </w:hyperlink>
      <w:r>
        <w:rPr>
          <w:rFonts w:ascii="Georgia" w:cs="Georgia" w:eastAsia="Georgia" w:hAnsi="Georgia"/>
          <w:i/>
          <w:iCs/>
          <w:color w:val="78716c"/>
          <w:sz w:val="17"/>
          <w:szCs w:val="17"/>
        </w:rPr>
        <w:t xml:space="preserve">.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•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•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decimal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decimal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decimal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decimal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>
      <w:start w:val="1"/>
      <w:numFmt w:val="low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5" w15:restartNumberingAfterBreak="0">
    <w:multiLevelType w:val="hybridMultilevel"/>
    <w:lvl w:ilvl="0">
      <w:start w:val="1"/>
      <w:numFmt w:val="upp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6" w15:restartNumberingAfterBreak="0">
    <w:multiLevelType w:val="hybridMultilevel"/>
    <w:lvl w:ilvl="0">
      <w:start w:val="1"/>
      <w:numFmt w:val="low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7" w15:restartNumberingAfterBreak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8" w15:restartNumberingAfterBreak="0">
    <w:multiLevelType w:val="hybridMultilevel"/>
    <w:lvl w:ilvl="0">
      <w:start w:val="1"/>
      <w:numFmt w:val="bullet"/>
      <w:suff w:val="tab"/>
      <w:lvlText w:val="◦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◦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◦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9" w15:restartNumberingAfterBreak="0">
    <w:multiLevelType w:val="hybridMultilevel"/>
    <w:lvl w:ilvl="0">
      <w:start w:val="1"/>
      <w:numFmt w:val="bullet"/>
      <w:suff w:val="tab"/>
      <w:lvlText w:val="▪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▪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▪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▪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▪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Number">
    <w:name w:val="List Number"/>
    <w:basedOn w:val="Normal"/>
    <w:next w:val="Normal"/>
    <w:qFormat/>
    <w:rPr>
      <w:rFonts w:ascii="Arial" w:cs="Arial" w:eastAsia="Arial" w:hAnsi="Arial"/>
      <w:sz w:val="21"/>
      <w:szCs w:val="21"/>
    </w:rPr>
  </w:style>
  <w:style w:type="paragraph" w:styleId="ListBullet">
    <w:name w:val="List Bullet"/>
    <w:basedOn w:val="Normal"/>
    <w:next w:val="Normal"/>
    <w:qFormat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7l6uoona2cdnf7ncyhex" Type="http://schemas.openxmlformats.org/officeDocument/2006/relationships/hyperlink" Target="#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2026-07-21T01:27:11.831Z</dcterms:created>
  <dcterms:modified xsi:type="dcterms:W3CDTF">2026-07-21T01:27:11.831Z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