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single" w:color="0f172a" w:sz="18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type="dxa" w:w="0"/>
              <w:left w:type="dxa" w:w="0"/>
              <w:bottom w:type="dxa" w:w="210"/>
              <w:right w:type="dxa" w:w="0"/>
            </w:tcMar>
          </w:tcPr>
          <w:p>
            <w:pPr>
              <w:spacing w:after="0" w:before="0" w:line="238" w:lineRule="exact"/>
            </w:pPr>
            <w:r>
              <w:rPr>
                <w:rFonts w:ascii="Arial" w:cs="Arial" w:eastAsia="Arial" w:hAnsi="Arial"/>
                <w:caps/>
                <w:color w:val="64748b"/>
                <w:spacing w:val="24"/>
                <w:sz w:val="17"/>
                <w:szCs w:val="17"/>
              </w:rPr>
              <w:t xml:space="preserve">Invoice</w:t>
            </w:r>
          </w:p>
          <w:p>
            <w:pPr>
              <w:spacing w:after="0" w:before="60" w:line="588" w:lineRule="exact"/>
            </w:pPr>
            <w:r>
              <w:rPr>
                <w:rFonts w:ascii="Arial" w:cs="Arial" w:eastAsia="Arial" w:hAnsi="Arial"/>
                <w:b/>
                <w:bCs/>
                <w:color w:val="0f172a"/>
                <w:sz w:val="42"/>
                <w:szCs w:val="42"/>
              </w:rPr>
              <w:t xml:space="preserve">#INV-4821</w:t>
            </w:r>
          </w:p>
        </w:tc>
        <w:tc>
          <w:tcPr>
            <w:tcW w:type="dxa" w:w="4680"/>
            <w:tcMar>
              <w:top w:type="dxa" w:w="0"/>
              <w:left w:type="dxa" w:w="0"/>
              <w:bottom w:type="dxa" w:w="210"/>
              <w:right w:type="dxa" w:w="0"/>
            </w:tcMar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00200" cy="457200"/>
                  <wp:effectExtent t="0" r="0" b="0" l="0"/>
                  <wp:docPr id="1" name="Meridian Analytics logo" descr="Meridian Analytics logo" title="Meridian Analytics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Meridian Analytics, Inc.</w:t>
            </w:r>
          </w:p>
          <w:p>
            <w:pPr>
              <w:spacing w:after="0" w:before="60" w:line="280" w:lineRule="exact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1200 Market Street, Suite 400</w:t>
            </w:r>
          </w:p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San Francisco, CA 94103</w:t>
            </w:r>
          </w:p>
        </w:tc>
      </w:tr>
    </w:tbl>
    <w:p>
      <w:pPr>
        <w:spacing w:after="30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pct" w:w="100%"/>
        <w:tblBorders>
          <w:top w:val="single" w:color="e2e8f0" w:sz="6"/>
          <w:left w:val="single" w:color="e2e8f0" w:sz="6"/>
          <w:bottom w:val="single" w:color="e2e8f0" w:sz="6"/>
          <w:right w:val="single" w:color="e2e8f0" w:sz="6"/>
          <w:insideH w:val="none" w:color="auto" w:sz="0"/>
          <w:insideV w:val="none" w:color="auto" w:sz="0"/>
        </w:tblBorders>
        <w:tblLayout w:type="fixed"/>
      </w:tblPr>
      <w:tblGrid>
        <w:gridCol w:w="4680"/>
        <w:gridCol w:w="2340"/>
        <w:gridCol w:w="2340"/>
      </w:tblGrid>
      <w:tr>
        <w:tc>
          <w:tcPr>
            <w:tcW w:type="dxa" w:w="4680"/>
            <w:vMerge w:val="restart"/>
            <w:tcBorders>
              <w:right w:val="single" w:color="e2e8f0" w:sz="6"/>
            </w:tcBorders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 w:line="238" w:lineRule="exact"/>
            </w:pPr>
            <w:r>
              <w:rPr>
                <w:rFonts w:ascii="Arial" w:cs="Arial" w:eastAsia="Arial" w:hAnsi="Arial"/>
                <w:caps/>
                <w:color w:val="64748b"/>
                <w:spacing w:val="17"/>
                <w:sz w:val="17"/>
                <w:szCs w:val="17"/>
              </w:rPr>
              <w:t xml:space="preserve">Bill to</w:t>
            </w:r>
          </w:p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Northwind Traders LLC</w:t>
            </w:r>
          </w:p>
          <w:p>
            <w:pPr>
              <w:spacing w:after="0" w:before="60" w:line="280" w:lineRule="exact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Attn: Accounts Payable</w:t>
            </w:r>
          </w:p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475569"/>
                <w:sz w:val="20"/>
                <w:szCs w:val="20"/>
              </w:rPr>
              <w:t xml:space="preserve">88 Harbor Way · Boston, MA 02110</w:t>
            </w:r>
          </w:p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Invoice date</w:t>
            </w:r>
          </w:p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March 15</w:t>
            </w:r>
          </w:p>
        </w:tc>
      </w:tr>
      <w:tr>
        <w:tc>
          <w:tcPr>
            <w:vMerge w:val="continue"/>
            <w:tcBorders>
              <w:right w:val="single" w:color="e2e8f0" w:sz="6"/>
            </w:tcBorders>
          </w:tcPr>
          <w:p/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Due date</w:t>
            </w:r>
          </w:p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April 14</w:t>
            </w:r>
          </w:p>
        </w:tc>
      </w:tr>
      <w:tr>
        <w:tc>
          <w:tcPr>
            <w:vMerge w:val="continue"/>
            <w:tcBorders>
              <w:right w:val="single" w:color="e2e8f0" w:sz="6"/>
            </w:tcBorders>
          </w:tcPr>
          <w:p/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Terms</w:t>
            </w:r>
          </w:p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Net 30</w:t>
            </w:r>
          </w:p>
        </w:tc>
      </w:tr>
      <w:tr>
        <w:tc>
          <w:tcPr>
            <w:vMerge w:val="continue"/>
            <w:tcBorders>
              <w:right w:val="single" w:color="e2e8f0" w:sz="6"/>
            </w:tcBorders>
          </w:tcPr>
          <w:p/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PO reference</w:t>
            </w:r>
          </w:p>
        </w:tc>
        <w:tc>
          <w:tcPr>
            <w:tcW w:type="dxa" w:w="2340"/>
            <w:shd w:fill="f8faf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NW-118</w:t>
            </w:r>
          </w:p>
        </w:tc>
      </w:tr>
    </w:tbl>
    <w:p>
      <w:pPr>
        <w:spacing w:after="27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pct" w:w="100%"/>
        <w:tblBorders>
          <w:top w:val="single" w:color="cbd5e1" w:sz="2"/>
          <w:left w:val="single" w:color="cbd5e1" w:sz="2"/>
          <w:bottom w:val="single" w:color="cbd5e1" w:sz="2"/>
          <w:right w:val="single" w:color="cbd5e1" w:sz="2"/>
          <w:insideH w:val="single" w:color="cbd5e1" w:sz="2"/>
          <w:insideV w:val="single" w:color="cbd5e1" w:sz="2"/>
        </w:tblBorders>
        <w:tblLayout w:type="fixed"/>
      </w:tblPr>
      <w:tblGrid>
        <w:gridCol w:w="5428"/>
        <w:gridCol w:w="936"/>
        <w:gridCol w:w="1498"/>
        <w:gridCol w:w="1498"/>
      </w:tblGrid>
      <w:tr>
        <w:tc>
          <w:tcPr>
            <w:tcW w:type="dxa" w:w="5428"/>
            <w:shd w:fill="0f172a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b/>
                <w:bCs/>
                <w:color w:val="f8fafc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0f172a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rFonts w:ascii="Arial" w:cs="Arial" w:eastAsia="Arial" w:hAnsi="Arial"/>
                <w:b/>
                <w:bCs/>
                <w:color w:val="f8fafc"/>
                <w:sz w:val="20"/>
                <w:szCs w:val="20"/>
              </w:rPr>
              <w:t xml:space="preserve">Qty</w:t>
            </w:r>
          </w:p>
        </w:tc>
        <w:tc>
          <w:tcPr>
            <w:tcW w:type="dxa" w:w="1498"/>
            <w:shd w:fill="0f172a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b/>
                <w:bCs/>
                <w:color w:val="f8fafc"/>
                <w:sz w:val="20"/>
                <w:szCs w:val="20"/>
              </w:rPr>
              <w:t xml:space="preserve">Rate</w:t>
            </w:r>
          </w:p>
        </w:tc>
        <w:tc>
          <w:tcPr>
            <w:tcW w:type="dxa" w:w="1498"/>
            <w:shd w:fill="0f172a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Arial" w:cs="Arial" w:eastAsia="Arial" w:hAnsi="Arial"/>
                <w:b/>
                <w:bCs/>
                <w:color w:val="f8fafc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5428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Platform migration — Phase 2 (engineering days)</w:t>
            </w:r>
          </w:p>
        </w:tc>
        <w:tc>
          <w:tcPr>
            <w:tcW w:type="dxa" w:w="936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1498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$185.00</w:t>
            </w:r>
          </w:p>
        </w:tc>
        <w:tc>
          <w:tcPr>
            <w:tcW w:type="dxa" w:w="1498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$2,220.00</w:t>
            </w:r>
          </w:p>
        </w:tc>
      </w:tr>
      <w:tr>
        <w:tc>
          <w:tcPr>
            <w:tcW w:type="dxa" w:w="5428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support (hourly)</w:t>
            </w:r>
          </w:p>
        </w:tc>
        <w:tc>
          <w:tcPr>
            <w:tcW w:type="dxa" w:w="936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498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$165.00</w:t>
            </w:r>
          </w:p>
        </w:tc>
        <w:tc>
          <w:tcPr>
            <w:tcW w:type="dxa" w:w="1498"/>
            <w:shd w:fill="f8fafc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$1,320.00</w:t>
            </w:r>
          </w:p>
        </w:tc>
      </w:tr>
      <w:tr>
        <w:tc>
          <w:tcPr>
            <w:tcW w:type="dxa" w:w="5428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On-site training — Boston (1 day)</w:t>
            </w:r>
          </w:p>
        </w:tc>
        <w:tc>
          <w:tcPr>
            <w:tcW w:type="dxa" w:w="936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8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$2,400.00</w:t>
            </w:r>
          </w:p>
        </w:tc>
        <w:tc>
          <w:tcPr>
            <w:tcW w:type="dxa" w:w="1498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$2,400.00</w:t>
            </w:r>
          </w:p>
        </w:tc>
      </w:tr>
    </w:tbl>
    <w:p>
      <w:pPr>
        <w:spacing w:after="18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5148"/>
        <w:gridCol w:w="2059"/>
        <w:gridCol w:w="2153"/>
      </w:tblGrid>
      <w:tr>
        <w:tc>
          <w:tcPr>
            <w:tcW w:type="dxa" w:w="5148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</w:pPr>
            <w:r>
              <w:t xml:space="preserve"/>
            </w:r>
          </w:p>
        </w:tc>
        <w:tc>
          <w:tcPr>
            <w:tcW w:type="dxa" w:w="2059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Subtotal</w:t>
            </w:r>
          </w:p>
        </w:tc>
        <w:tc>
          <w:tcPr>
            <w:tcW w:type="dxa" w:w="2153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$5,940.00</w:t>
            </w:r>
          </w:p>
        </w:tc>
      </w:tr>
      <w:tr>
        <w:tc>
          <w:tcPr>
            <w:tcW w:type="dxa" w:w="5148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</w:pPr>
            <w:r>
              <w:t xml:space="preserve"/>
            </w:r>
          </w:p>
        </w:tc>
        <w:tc>
          <w:tcPr>
            <w:tcW w:type="dxa" w:w="2059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Sales tax (6.25%)</w:t>
            </w:r>
          </w:p>
        </w:tc>
        <w:tc>
          <w:tcPr>
            <w:tcW w:type="dxa" w:w="2153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$371.25</w:t>
            </w:r>
          </w:p>
        </w:tc>
      </w:tr>
      <w:tr>
        <w:tc>
          <w:tcPr>
            <w:tcW w:type="dxa" w:w="5148"/>
            <w:shd w:fill="0f172a" w:color="auto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spacing w:after="0" w:before="0" w:line="280" w:lineRule="exact"/>
            </w:pPr>
            <w:r>
              <w:t xml:space="preserve"/>
            </w:r>
          </w:p>
        </w:tc>
        <w:tc>
          <w:tcPr>
            <w:tcW w:type="dxa" w:w="2059"/>
            <w:shd w:fill="0f172a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 due</w:t>
            </w:r>
          </w:p>
        </w:tc>
        <w:tc>
          <w:tcPr>
            <w:tcW w:type="dxa" w:w="2153"/>
            <w:shd w:fill="0f172a" w:color="auto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20"/>
                <w:szCs w:val="20"/>
              </w:rPr>
              <w:t xml:space="preserve">$6,311.25</w:t>
            </w:r>
          </w:p>
        </w:tc>
      </w:tr>
    </w:tbl>
    <w:p>
      <w:pPr>
        <w:spacing w:after="30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auto" w:sz="0"/>
              <w:left w:val="single" w:color="2563eb" w:sz="24" w:space="11"/>
              <w:bottom w:val="none" w:color="auto" w:sz="0"/>
              <w:right w:val="none" w:color="auto" w:sz="0"/>
            </w:tcBorders>
            <w:shd w:fill="eff6ff" w:color="auto" w:val="clear"/>
            <w:tcMar>
              <w:top w:type="dxa" w:w="180"/>
              <w:left w:type="dxa" w:w="210"/>
              <w:bottom w:type="dxa" w:w="180"/>
              <w:right w:type="dxa" w:w="210"/>
            </w:tcMar>
          </w:tcPr>
          <w:p>
            <w:pPr>
              <w:spacing w:after="0" w:before="0" w:line="294" w:lineRule="exact"/>
              <w:contextualSpacing w:val="false"/>
            </w:pPr>
            <w:r>
              <w:rPr>
                <w:rFonts w:ascii="Arial" w:cs="Arial" w:eastAsia="Arial" w:hAnsi="Arial"/>
                <w:b/>
                <w:bCs/>
                <w:color w:val="1e40af"/>
                <w:sz w:val="18"/>
                <w:szCs w:val="18"/>
              </w:rPr>
              <w:t xml:space="preserve">Payment instructions:</w:t>
            </w:r>
            <w:r>
              <w:rPr>
                <w:rFonts w:ascii="Arial" w:cs="Arial" w:eastAsia="Arial" w:hAnsi="Arial"/>
                <w:color w:val="1e40af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1e40af"/>
                <w:sz w:val="18"/>
                <w:szCs w:val="18"/>
              </w:rPr>
              <w:t xml:space="preserve">Wire to Meridian Analytics · Routing 021000021 · Account ending 8842. Include invoice </w:t>
            </w:r>
            <w:r>
              <w:rPr>
                <w:rFonts w:ascii="Arial" w:cs="Arial" w:eastAsia="Arial" w:hAnsi="Arial"/>
                <w:b/>
                <w:bCs/>
                <w:color w:val="1e40af"/>
                <w:sz w:val="18"/>
                <w:szCs w:val="18"/>
              </w:rPr>
              <w:t xml:space="preserve">#INV-4821</w:t>
            </w:r>
            <w:r>
              <w:rPr>
                <w:rFonts w:ascii="Arial" w:cs="Arial" w:eastAsia="Arial" w:hAnsi="Arial"/>
                <w:color w:val="1e40af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1e40af"/>
                <w:sz w:val="18"/>
                <w:szCs w:val="18"/>
              </w:rPr>
              <w:t xml:space="preserve">in the memo line. </w:t>
            </w:r>
          </w:p>
        </w:tc>
      </w:tr>
    </w:tbl>
    <w:p>
      <w:pPr>
        <w:spacing w:after="170" w:before="210" w:line="238" w:lineRule="atLeast"/>
        <w:textAlignment w:val="center"/>
      </w:pPr>
      <w:r>
        <w:rPr>
          <w:rFonts w:ascii="Arial" w:cs="Arial" w:eastAsia="Arial" w:hAnsi="Arial"/>
          <w:color w:val="94a3b8"/>
          <w:sz w:val="17"/>
          <w:szCs w:val="17"/>
        </w:rPr>
        <w:t xml:space="preserve">Questions?</w:t>
      </w:r>
      <w:r>
        <w:rPr>
          <w:rFonts w:ascii="Arial" w:cs="Arial" w:eastAsia="Arial" w:hAnsi="Arial"/>
          <w:color w:val="94a3b8"/>
          <w:sz w:val="17"/>
          <w:szCs w:val="17"/>
        </w:rPr>
        <w:t xml:space="preserve"> </w:t>
      </w:r>
      <w:hyperlink w:history="1" r:id="rIdi2iruajpxxp2s5ov9t8ue">
        <w:r>
          <w:rPr>
            <w:rStyle w:val="Hyperlink"/>
            <w:rFonts w:ascii="Arial" w:cs="Arial" w:eastAsia="Arial" w:hAnsi="Arial"/>
            <w:color w:val="2563eb"/>
            <w:sz w:val="17"/>
            <w:szCs w:val="17"/>
            <w:u w:val="single" w:color="2563eb"/>
          </w:rPr>
          <w:t xml:space="preserve">ar@meridian.example</w:t>
        </w:r>
      </w:hyperlink>
      <w:r>
        <w:rPr>
          <w:rFonts w:ascii="Arial" w:cs="Arial" w:eastAsia="Arial" w:hAnsi="Arial"/>
          <w:color w:val="94a3b8"/>
          <w:sz w:val="17"/>
          <w:szCs w:val="17"/>
        </w:rPr>
        <w:t xml:space="preserve"> </w:t>
      </w:r>
      <w:r>
        <w:rPr>
          <w:rFonts w:ascii="Arial" w:cs="Arial" w:eastAsia="Arial" w:hAnsi="Arial"/>
          <w:color w:val="94a3b8"/>
          <w:sz w:val="17"/>
          <w:szCs w:val="17"/>
        </w:rPr>
        <w:t xml:space="preserve">· Thank you for your business.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2iruajpxxp2s5ov9t8ue" Type="http://schemas.openxmlformats.org/officeDocument/2006/relationships/hyperlink" Target="mailto:ar@meridian.example" TargetMode="External"/><Relationship Id="rId7" Type="http://schemas.openxmlformats.org/officeDocument/2006/relationships/image" Target="media/cc9437b84676d8c5b0827a59ed35de043f9008c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2026-07-21T01:27:04.463Z</dcterms:created>
  <dcterms:modified xsi:type="dcterms:W3CDTF">2026-07-21T01:27:04.463Z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