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38" w:lineRule="atLeast"/>
        <w:textAlignment w:val="center"/>
      </w:pPr>
      <w:r>
        <w:rPr>
          <w:rFonts w:ascii="Georgia" w:cs="Georgia" w:eastAsia="Georgia" w:hAnsi="Georgia"/>
          <w:caps/>
          <w:color w:val="78716c"/>
          <w:spacing w:val="20"/>
          <w:sz w:val="17"/>
          <w:szCs w:val="17"/>
        </w:rPr>
        <w:t xml:space="preserve">Audited · Form 10-Q excerpt</w:t>
      </w:r>
    </w:p>
    <w:p>
      <w:pPr>
        <w:pStyle w:val="Heading1"/>
        <w:spacing w:after="60" w:before="195" w:line="546" w:lineRule="atLeast"/>
        <w:textAlignment w:val="center"/>
      </w:pPr>
      <w:r>
        <w:rPr>
          <w:rFonts w:ascii="Georgia" w:cs="Georgia" w:eastAsia="Georgia" w:hAnsi="Georgia"/>
          <w:b/>
          <w:bCs/>
          <w:color w:val="14532d"/>
          <w:sz w:val="39"/>
          <w:szCs w:val="39"/>
        </w:rPr>
        <w:t xml:space="preserve">Meridian Analytics, Inc.</w:t>
      </w:r>
    </w:p>
    <w:p>
      <w:pPr>
        <w:pBdr>
          <w:bottom w:val="single" w:color="ca8a04" w:sz="12" w:space="6"/>
        </w:pBdr>
        <w:spacing w:after="360" w:line="280" w:lineRule="atLeast"/>
        <w:textAlignment w:val="center"/>
      </w:pPr>
      <w:r>
        <w:rPr>
          <w:rFonts w:ascii="Georgia" w:cs="Georgia" w:eastAsia="Georgia" w:hAnsi="Georgia"/>
          <w:color w:val="57534e"/>
          <w:sz w:val="20"/>
          <w:szCs w:val="20"/>
        </w:rPr>
        <w:t xml:space="preserve">Condensed Income Statement · Quarter ended March 31, 2026 · (USD, thousands) </w:t>
      </w:r>
    </w:p>
    <w:tbl>
      <w:tblPr>
        <w:tblW w:type="pct" w:w="100%"/>
        <w:tblBorders>
          <w:top w:val="single" w:color="eeeeee" w:sz="2"/>
          <w:left w:val="single" w:color="eeeeee" w:sz="2"/>
          <w:bottom w:val="single" w:color="eeeeee" w:sz="2"/>
          <w:right w:val="single" w:color="eeeeee" w:sz="2"/>
          <w:insideH w:val="single" w:color="eeeeee" w:sz="2"/>
          <w:insideV w:val="single" w:color="eeeeee" w:sz="2"/>
        </w:tblBorders>
        <w:tblLayout w:type="fixed"/>
      </w:tblPr>
      <w:tblGrid>
        <w:gridCol w:w="4125"/>
        <w:gridCol w:w="1856"/>
        <w:gridCol w:w="1856"/>
        <w:gridCol w:w="1523"/>
      </w:tblGrid>
      <w:tr>
        <w:tc>
          <w:tcPr>
            <w:tcW w:type="dxa" w:w="4125"/>
            <w:shd w:fill="14532d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b/>
                <w:bCs/>
                <w:color w:val="fef9c3"/>
                <w:sz w:val="20"/>
                <w:szCs w:val="20"/>
              </w:rPr>
              <w:t xml:space="preserve">Line item</w:t>
            </w:r>
          </w:p>
        </w:tc>
        <w:tc>
          <w:tcPr>
            <w:tcW w:type="dxa" w:w="1856"/>
            <w:shd w:fill="14532d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ef9c3"/>
                <w:sz w:val="20"/>
                <w:szCs w:val="20"/>
              </w:rPr>
              <w:t xml:space="preserve">Q1 2026</w:t>
            </w:r>
          </w:p>
        </w:tc>
        <w:tc>
          <w:tcPr>
            <w:tcW w:type="dxa" w:w="1856"/>
            <w:shd w:fill="14532d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ef9c3"/>
                <w:sz w:val="20"/>
                <w:szCs w:val="20"/>
              </w:rPr>
              <w:t xml:space="preserve">Q1 2025</w:t>
            </w:r>
          </w:p>
        </w:tc>
        <w:tc>
          <w:tcPr>
            <w:tcW w:type="dxa" w:w="1523"/>
            <w:shd w:fill="14532d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ef9c3"/>
                <w:sz w:val="20"/>
                <w:szCs w:val="20"/>
              </w:rPr>
              <w:t xml:space="preserve">YoY %</w:t>
            </w:r>
          </w:p>
        </w:tc>
      </w:tr>
      <w:tr>
        <w:tc>
          <w:tcPr>
            <w:tcW w:type="dxa" w:w="4125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Revenue</w:t>
            </w:r>
          </w:p>
        </w:tc>
        <w:tc>
          <w:tcPr>
            <w:tcW w:type="dxa" w:w="185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$48,320</w:t>
            </w:r>
          </w:p>
        </w:tc>
        <w:tc>
          <w:tcPr>
            <w:tcW w:type="dxa" w:w="185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$41,180</w:t>
            </w:r>
          </w:p>
        </w:tc>
        <w:tc>
          <w:tcPr>
            <w:tcW w:type="dxa" w:w="152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color w:val="15803d"/>
                <w:sz w:val="20"/>
                <w:szCs w:val="20"/>
              </w:rPr>
              <w:t xml:space="preserve">+17.3%</w:t>
            </w:r>
          </w:p>
        </w:tc>
      </w:tr>
      <w:tr>
        <w:tc>
          <w:tcPr>
            <w:tcW w:type="dxa" w:w="4125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Cost of revenue</w:t>
            </w:r>
          </w:p>
        </w:tc>
        <w:tc>
          <w:tcPr>
            <w:tcW w:type="dxa" w:w="185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($14,896)</w:t>
            </w:r>
          </w:p>
        </w:tc>
        <w:tc>
          <w:tcPr>
            <w:tcW w:type="dxa" w:w="185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($13,574)</w:t>
            </w:r>
          </w:p>
        </w:tc>
        <w:tc>
          <w:tcPr>
            <w:tcW w:type="dxa" w:w="152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+9.7%</w:t>
            </w:r>
          </w:p>
        </w:tc>
      </w:tr>
      <w:tr>
        <w:tc>
          <w:tcPr>
            <w:tcW w:type="dxa" w:w="4125"/>
            <w:shd w:fill="ecfdf5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Gross profit</w:t>
            </w:r>
          </w:p>
        </w:tc>
        <w:tc>
          <w:tcPr>
            <w:tcW w:type="dxa" w:w="1856"/>
            <w:shd w:fill="ecfdf5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$33,424</w:t>
            </w:r>
          </w:p>
        </w:tc>
        <w:tc>
          <w:tcPr>
            <w:tcW w:type="dxa" w:w="1856"/>
            <w:shd w:fill="ecfdf5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$27,606</w:t>
            </w:r>
          </w:p>
        </w:tc>
        <w:tc>
          <w:tcPr>
            <w:tcW w:type="dxa" w:w="1523"/>
            <w:shd w:fill="ecfdf5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+21.1%</w:t>
            </w:r>
          </w:p>
        </w:tc>
      </w:tr>
      <w:tr>
        <w:tc>
          <w:tcPr>
            <w:tcW w:type="dxa" w:w="4125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Sales &amp; marketing</w:t>
            </w:r>
          </w:p>
        </w:tc>
        <w:tc>
          <w:tcPr>
            <w:tcW w:type="dxa" w:w="185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($9,664)</w:t>
            </w:r>
          </w:p>
        </w:tc>
        <w:tc>
          <w:tcPr>
            <w:tcW w:type="dxa" w:w="185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($8,236)</w:t>
            </w:r>
          </w:p>
        </w:tc>
        <w:tc>
          <w:tcPr>
            <w:tcW w:type="dxa" w:w="152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+17.3%</w:t>
            </w:r>
          </w:p>
        </w:tc>
      </w:tr>
      <w:tr>
        <w:tc>
          <w:tcPr>
            <w:tcW w:type="dxa" w:w="4125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Research &amp; development</w:t>
            </w:r>
          </w:p>
        </w:tc>
        <w:tc>
          <w:tcPr>
            <w:tcW w:type="dxa" w:w="185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($7,248)</w:t>
            </w:r>
          </w:p>
        </w:tc>
        <w:tc>
          <w:tcPr>
            <w:tcW w:type="dxa" w:w="185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($6,177)</w:t>
            </w:r>
          </w:p>
        </w:tc>
        <w:tc>
          <w:tcPr>
            <w:tcW w:type="dxa" w:w="152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+17.3%</w:t>
            </w:r>
          </w:p>
        </w:tc>
      </w:tr>
      <w:tr>
        <w:tc>
          <w:tcPr>
            <w:tcW w:type="dxa" w:w="4125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General &amp; administrative</w:t>
            </w:r>
          </w:p>
        </w:tc>
        <w:tc>
          <w:tcPr>
            <w:tcW w:type="dxa" w:w="185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($4,832)</w:t>
            </w:r>
          </w:p>
        </w:tc>
        <w:tc>
          <w:tcPr>
            <w:tcW w:type="dxa" w:w="185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($4,118)</w:t>
            </w:r>
          </w:p>
        </w:tc>
        <w:tc>
          <w:tcPr>
            <w:tcW w:type="dxa" w:w="152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+17.3%</w:t>
            </w:r>
          </w:p>
        </w:tc>
      </w:tr>
      <w:tr>
        <w:tc>
          <w:tcPr>
            <w:tcW w:type="dxa" w:w="4125"/>
            <w:shd w:fill="ecfdf5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Operating income</w:t>
            </w:r>
          </w:p>
        </w:tc>
        <w:tc>
          <w:tcPr>
            <w:tcW w:type="dxa" w:w="1856"/>
            <w:shd w:fill="ecfdf5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$11,680</w:t>
            </w:r>
          </w:p>
        </w:tc>
        <w:tc>
          <w:tcPr>
            <w:tcW w:type="dxa" w:w="1856"/>
            <w:shd w:fill="ecfdf5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$9,075</w:t>
            </w:r>
          </w:p>
        </w:tc>
        <w:tc>
          <w:tcPr>
            <w:tcW w:type="dxa" w:w="1523"/>
            <w:shd w:fill="ecfdf5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+28.7%</w:t>
            </w:r>
          </w:p>
        </w:tc>
      </w:tr>
      <w:tr>
        <w:tc>
          <w:tcPr>
            <w:tcW w:type="dxa" w:w="4125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Interest &amp; other</w:t>
            </w:r>
          </w:p>
        </w:tc>
        <w:tc>
          <w:tcPr>
            <w:tcW w:type="dxa" w:w="185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($412)</w:t>
            </w:r>
          </w:p>
        </w:tc>
        <w:tc>
          <w:tcPr>
            <w:tcW w:type="dxa" w:w="1856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($388)</w:t>
            </w:r>
          </w:p>
        </w:tc>
        <w:tc>
          <w:tcPr>
            <w:tcW w:type="dxa" w:w="152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+6.2%</w:t>
            </w:r>
          </w:p>
        </w:tc>
      </w:tr>
      <w:tr>
        <w:tc>
          <w:tcPr>
            <w:tcW w:type="dxa" w:w="4125"/>
            <w:shd w:fill="fef9c3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Net income</w:t>
            </w:r>
          </w:p>
        </w:tc>
        <w:tc>
          <w:tcPr>
            <w:tcW w:type="dxa" w:w="1856"/>
            <w:shd w:fill="fef9c3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$11,268</w:t>
            </w:r>
          </w:p>
        </w:tc>
        <w:tc>
          <w:tcPr>
            <w:tcW w:type="dxa" w:w="1856"/>
            <w:shd w:fill="fef9c3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$8,687</w:t>
            </w:r>
          </w:p>
        </w:tc>
        <w:tc>
          <w:tcPr>
            <w:tcW w:type="dxa" w:w="1523"/>
            <w:shd w:fill="fef9c3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5803d"/>
                <w:sz w:val="20"/>
                <w:szCs w:val="20"/>
              </w:rPr>
              <w:t xml:space="preserve">+29.7%</w:t>
            </w:r>
          </w:p>
        </w:tc>
      </w:tr>
    </w:tbl>
    <w:p>
      <w:pPr>
        <w:spacing w:after="170" w:before="180" w:line="238" w:lineRule="atLeast"/>
        <w:textAlignment w:val="center"/>
      </w:pPr>
      <w:r>
        <w:rPr>
          <w:rFonts w:ascii="Georgia" w:cs="Georgia" w:eastAsia="Georgia" w:hAnsi="Georgia"/>
          <w:i/>
          <w:iCs/>
          <w:color w:val="78716c"/>
          <w:sz w:val="17"/>
          <w:szCs w:val="17"/>
        </w:rPr>
        <w:t xml:space="preserve">Non-GAAP adjustments excluded. Prepared by Finance ·</w:t>
      </w:r>
      <w:r>
        <w:rPr>
          <w:rFonts w:ascii="Georgia" w:cs="Georgia" w:eastAsia="Georgia" w:hAnsi="Georgia"/>
          <w:i/>
          <w:iCs/>
          <w:color w:val="78716c"/>
          <w:sz w:val="17"/>
          <w:szCs w:val="17"/>
        </w:rPr>
        <w:t xml:space="preserve"> </w:t>
      </w:r>
      <w:hyperlink w:history="1" r:id="rId1li5udcoinbet54tqykty">
        <w:r>
          <w:rPr>
            <w:rStyle w:val="Hyperlink"/>
            <w:rFonts w:ascii="Georgia" w:cs="Georgia" w:eastAsia="Georgia" w:hAnsi="Georgia"/>
            <w:i/>
            <w:iCs/>
            <w:color w:val="14532d"/>
            <w:sz w:val="17"/>
            <w:szCs w:val="17"/>
            <w:u w:val="single" w:color="14532d"/>
          </w:rPr>
          <w:t xml:space="preserve">full 10-Q draft</w:t>
        </w:r>
      </w:hyperlink>
      <w:r>
        <w:rPr>
          <w:rFonts w:ascii="Georgia" w:cs="Georgia" w:eastAsia="Georgia" w:hAnsi="Georgia"/>
          <w:i/>
          <w:iCs/>
          <w:color w:val="78716c"/>
          <w:sz w:val="17"/>
          <w:szCs w:val="17"/>
        </w:rPr>
        <w:t xml:space="preserve">.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◦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•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◦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•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3" w15:restartNumberingAfterBreak="0"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decimal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decimal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decimal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decimal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4" w15:restartNumberingAfterBreak="0">
    <w:multiLevelType w:val="hybridMultilevel"/>
    <w:lvl w:ilvl="0">
      <w:start w:val="1"/>
      <w:numFmt w:val="lowerLetter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lowerLetter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lowerLetter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lowerLetter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lowerLetter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5" w15:restartNumberingAfterBreak="0">
    <w:multiLevelType w:val="hybridMultilevel"/>
    <w:lvl w:ilvl="0">
      <w:start w:val="1"/>
      <w:numFmt w:val="upperLetter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upperLetter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upperLetter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upperLetter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upperLetter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6" w15:restartNumberingAfterBreak="0">
    <w:multiLevelType w:val="hybridMultilevel"/>
    <w:lvl w:ilvl="0">
      <w:start w:val="1"/>
      <w:numFmt w:val="lowerRoman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lowerRoman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lowerRoman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lowerRoman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lowerRoman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7" w15:restartNumberingAfterBreak="0">
    <w:multiLevelType w:val="hybridMultilevel"/>
    <w:lvl w:ilvl="0">
      <w:start w:val="1"/>
      <w:numFmt w:val="upperRoman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upperRoman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upperRoman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upperRoman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upperRoman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8" w15:restartNumberingAfterBreak="0">
    <w:multiLevelType w:val="hybridMultilevel"/>
    <w:lvl w:ilvl="0">
      <w:start w:val="1"/>
      <w:numFmt w:val="bullet"/>
      <w:suff w:val="tab"/>
      <w:lvlText w:val="◦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◦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◦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◦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◦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9" w15:restartNumberingAfterBreak="0">
    <w:multiLevelType w:val="hybridMultilevel"/>
    <w:lvl w:ilvl="0">
      <w:start w:val="1"/>
      <w:numFmt w:val="bullet"/>
      <w:suff w:val="tab"/>
      <w:lvlText w:val="▪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▪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▪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▪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▪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ListNumber">
    <w:name w:val="List Number"/>
    <w:basedOn w:val="Normal"/>
    <w:next w:val="Normal"/>
    <w:qFormat/>
    <w:rPr>
      <w:rFonts w:ascii="Arial" w:cs="Arial" w:eastAsia="Arial" w:hAnsi="Arial"/>
      <w:sz w:val="21"/>
      <w:szCs w:val="21"/>
    </w:rPr>
  </w:style>
  <w:style w:type="paragraph" w:styleId="ListBullet">
    <w:name w:val="List Bullet"/>
    <w:basedOn w:val="Normal"/>
    <w:next w:val="Normal"/>
    <w:qFormat/>
    <w:rPr>
      <w:rFonts w:ascii="Arial" w:cs="Arial" w:eastAsia="Arial" w:hAnsi="Arial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li5udcoinbet54tqykty" Type="http://schemas.openxmlformats.org/officeDocument/2006/relationships/hyperlink" Target="#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2026-07-21T01:26:23.170Z</dcterms:created>
  <dcterms:modified xsi:type="dcterms:W3CDTF">2026-07-21T01:26:23.170Z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