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STANDARD OPERATING PROCEDURE</w:t>
      </w:r>
    </w:p>
    <w:p>
      <w:pPr>
        <w:spacing w:after="240"/>
        <w:jc w:val="center"/>
      </w:pPr>
      <w:r>
        <w:rPr>
          <w:b/>
          <w:bCs/>
          <w:color w:val="8A6B52"/>
          <w:sz w:val="24"/>
          <w:szCs w:val="24"/>
        </w:rPr>
        <w:t xml:space="preserve">Pre-Demonstration Software Testing &amp; Validation of PharmaGPT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6"/>
        <w:gridCol w:w="3250"/>
        <w:gridCol w:w="3250"/>
      </w:tblGrid>
      <w:tr>
        <w:tc>
          <w:tcPr>
            <w:tcW w:type="dxa" w:w="3246"/>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Document Title</w:t>
            </w:r>
          </w:p>
        </w:tc>
        <w:tc>
          <w:tcPr>
            <w:tcW w:type="dxa" w:w="3250"/>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SOP Number</w:t>
            </w:r>
          </w:p>
        </w:tc>
        <w:tc>
          <w:tcPr>
            <w:tcW w:type="dxa" w:w="3250"/>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Version</w:t>
            </w:r>
          </w:p>
        </w:tc>
      </w:tr>
      <w:tr>
        <w:tc>
          <w:tcPr>
            <w:tcW w:type="dxa" w:w="32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Pre-Demonstration Software Testing &amp; Validation of PharmaGPT</w:t>
            </w:r>
          </w:p>
        </w:tc>
        <w:tc>
          <w:tcPr>
            <w:tcW w:type="dxa" w:w="325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SOP-QA-002</w:t>
            </w:r>
          </w:p>
        </w:tc>
        <w:tc>
          <w:tcPr>
            <w:tcW w:type="dxa" w:w="325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1.0</w:t>
            </w:r>
          </w:p>
        </w:tc>
      </w:tr>
      <w:tr>
        <w:tc>
          <w:tcPr>
            <w:tcW w:type="dxa" w:w="3246"/>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Effective Date</w:t>
            </w:r>
          </w:p>
        </w:tc>
        <w:tc>
          <w:tcPr>
            <w:tcW w:type="dxa" w:w="3250"/>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Department</w:t>
            </w:r>
          </w:p>
        </w:tc>
        <w:tc>
          <w:tcPr>
            <w:tcW w:type="dxa" w:w="3250"/>
            <w:tcBorders>
              <w:top w:val="single" w:color="B8AFA6" w:sz="2"/>
              <w:left w:val="single" w:color="B8AFA6" w:sz="2"/>
              <w:bottom w:val="single" w:color="B8AFA6" w:sz="2"/>
              <w:right w:val="single" w:color="B8AFA6" w:sz="2"/>
            </w:tcBorders>
            <w:shd w:fill="F2ECE6" w:val="clear"/>
            <w:tcMar>
              <w:top w:type="dxa" w:w="70"/>
              <w:left w:type="dxa" w:w="100"/>
              <w:bottom w:type="dxa" w:w="70"/>
              <w:right w:type="dxa" w:w="100"/>
            </w:tcMar>
            <w:vAlign w:val="center"/>
          </w:tcPr>
          <w:p>
            <w:r>
              <w:rPr>
                <w:b/>
                <w:bCs/>
                <w:sz w:val="18"/>
                <w:szCs w:val="18"/>
              </w:rPr>
              <w:t xml:space="preserve">Supersedes</w:t>
            </w:r>
          </w:p>
        </w:tc>
      </w:tr>
      <w:tr>
        <w:tc>
          <w:tcPr>
            <w:tcW w:type="dxa" w:w="32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2026-07-06</w:t>
            </w:r>
          </w:p>
        </w:tc>
        <w:tc>
          <w:tcPr>
            <w:tcW w:type="dxa" w:w="325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Quality Assurance / Software Engineering</w:t>
            </w:r>
          </w:p>
        </w:tc>
        <w:tc>
          <w:tcPr>
            <w:tcW w:type="dxa" w:w="325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None (new document)</w:t>
            </w:r>
          </w:p>
        </w:tc>
      </w:tr>
    </w:tbl>
    <w:p>
      <w:pPr>
        <w:pStyle w:val="Heading1"/>
      </w:pPr>
      <w:r>
        <w:t xml:space="preserve">1. Purpose</w:t>
      </w:r>
    </w:p>
    <w:p>
      <w:pPr>
        <w:spacing w:after="160"/>
      </w:pPr>
      <w:r>
        <w:t xml:space="preserve">This SOP defines the standard procedure for testing and validating every module of the PharmaGPT platform before it is shown in an internal review, client demonstration, or any other stakeholder-facing session. The platform is approximately 80% complete against its planned scope; this procedure exists to catch functional errors, broken navigation, and incomplete integrations before an audience does.</w:t>
      </w:r>
    </w:p>
    <w:p>
      <w:pPr>
        <w:pStyle w:val="Heading1"/>
      </w:pPr>
      <w:r>
        <w:t xml:space="preserve">2. Scope</w:t>
      </w:r>
    </w:p>
    <w:p>
      <w:pPr>
        <w:spacing w:after="160"/>
      </w:pPr>
      <w:r>
        <w:t xml:space="preserve">This SOP applies to all PharmaGPT modules built to date, whether “live” (already wired into the sidebar navigation) or “backend-complete” (functionally built but requiring verification of its UI entry point). It covers the 15 modules listed in Section 6.2, spanning the Validation Management Suite, the Knowledge Base and Document Intelligence Engine, the AI Assistant, and the Quality Management Suite. It applies before:</w:t>
      </w:r>
    </w:p>
    <w:p>
      <w:pPr>
        <w:pStyle w:val="ListParagraph"/>
        <w:numPr>
          <w:ilvl w:val="0"/>
          <w:numId w:val="2"/>
        </w:numPr>
        <w:spacing w:after="80"/>
      </w:pPr>
      <w:r>
        <w:t xml:space="preserve">Any internal or external product demonstration</w:t>
      </w:r>
    </w:p>
    <w:p>
      <w:pPr>
        <w:pStyle w:val="ListParagraph"/>
        <w:numPr>
          <w:ilvl w:val="0"/>
          <w:numId w:val="2"/>
        </w:numPr>
        <w:spacing w:after="80"/>
      </w:pPr>
      <w:r>
        <w:t xml:space="preserve">Any stakeholder or investor review</w:t>
      </w:r>
    </w:p>
    <w:p>
      <w:pPr>
        <w:pStyle w:val="ListParagraph"/>
        <w:numPr>
          <w:ilvl w:val="0"/>
          <w:numId w:val="2"/>
        </w:numPr>
        <w:spacing w:after="80"/>
      </w:pPr>
      <w:r>
        <w:t xml:space="preserve">Any pre-production release or deployment to Render</w:t>
      </w:r>
    </w:p>
    <w:p>
      <w:pPr>
        <w:pStyle w:val="Heading1"/>
      </w:pPr>
      <w:r>
        <w:t xml:space="preserve">3.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6"/>
        <w:gridCol w:w="6500"/>
      </w:tblGrid>
      <w:tr>
        <w:trPr>
          <w:tblHeader/>
        </w:trPr>
        <w:tc>
          <w:tcPr>
            <w:tcW w:type="dxa" w:w="324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Role</w:t>
            </w:r>
          </w:p>
        </w:tc>
        <w:tc>
          <w:tcPr>
            <w:tcW w:type="dxa" w:w="65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Responsibility</w:t>
            </w:r>
          </w:p>
        </w:tc>
      </w:tr>
      <w:tr>
        <w:tc>
          <w:tcPr>
            <w:tcW w:type="dxa" w:w="32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Development / QA Lead</w:t>
            </w:r>
          </w:p>
        </w:tc>
        <w:tc>
          <w:tcPr>
            <w:tcW w:type="dxa" w:w="6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Execute the full test procedure in Section 6, record actual results, and resolve or formally accept any deviations before sign-off.</w:t>
            </w:r>
          </w:p>
        </w:tc>
      </w:tr>
      <w:tr>
        <w:tc>
          <w:tcPr>
            <w:tcW w:type="dxa" w:w="32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Project Owner / Presenter</w:t>
            </w:r>
          </w:p>
        </w:tc>
        <w:tc>
          <w:tcPr>
            <w:tcW w:type="dxa" w:w="6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Review the completed sign-off checklist (Section 6.4) and formally authorize the demonstration to proceed.</w:t>
            </w:r>
          </w:p>
        </w:tc>
      </w:tr>
      <w:tr>
        <w:tc>
          <w:tcPr>
            <w:tcW w:type="dxa" w:w="32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Anyone Presenting a Demo</w:t>
            </w:r>
          </w:p>
        </w:tc>
        <w:tc>
          <w:tcPr>
            <w:tcW w:type="dxa" w:w="6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Follow the suggested demo order in Section 6.4 and avoid any module flagged as not yet fit for a live audience.</w:t>
            </w:r>
          </w:p>
        </w:tc>
      </w:tr>
    </w:tbl>
    <w:p>
      <w:pPr>
        <w:pStyle w:val="Heading1"/>
      </w:pPr>
      <w:r>
        <w:t xml:space="preserve">4. Definitions &amp; Abbreviations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7800"/>
      </w:tblGrid>
      <w:tr>
        <w:trPr>
          <w:tblHeader/>
        </w:trPr>
        <w:tc>
          <w:tcPr>
            <w:tcW w:type="dxa" w:w="194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Term</w:t>
            </w:r>
          </w:p>
        </w:tc>
        <w:tc>
          <w:tcPr>
            <w:tcW w:type="dxa" w:w="78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Definition</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SOP</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Standard Operating Procedure.</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URS / IQ / OQ / PQ</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User Requirements Specification / Installation, Operational, Performance Qualification — the standard equipment validation lifecycle documents.</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CAPA</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Corrective and Preventive Action.</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QMS</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Quality Management Suite — PharmaGPT's Document Control, Deviation, CAPA, and Change Control modules.</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RAG</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Retrieval-Augmented Generation — keyword/Jaccard document search used to ground AI answers in uploaded documents.</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SSE</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Server-Sent Events — the streaming mechanism used for AI chat and document generation.</w:t>
            </w:r>
          </w:p>
        </w:tc>
      </w:tr>
      <w:tr>
        <w:tc>
          <w:tcPr>
            <w:tcW w:type="dxa" w:w="1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“Newly wired”</w:t>
            </w:r>
          </w:p>
        </w:tc>
        <w:tc>
          <w:tcPr>
            <w:tcW w:type="dxa" w:w="7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A module whose backend and frontend code already existed but had no sidebar entry point until this SOP's associated engineering change.</w:t>
            </w:r>
          </w:p>
        </w:tc>
      </w:tr>
    </w:tbl>
    <w:p>
      <w:pPr>
        <w:pStyle w:val="Heading1"/>
      </w:pPr>
      <w:r>
        <w:t xml:space="preserve">5. Reference Documents</w:t>
      </w:r>
    </w:p>
    <w:p>
      <w:pPr>
        <w:pStyle w:val="ListParagraph"/>
        <w:numPr>
          <w:ilvl w:val="0"/>
          <w:numId w:val="2"/>
        </w:numPr>
        <w:spacing w:after="80"/>
      </w:pPr>
      <w:r>
        <w:t xml:space="preserve">docs/TESTING_VALIDATION_GUIDE.md — detailed process-flow and test-script reference this SOP summarizes</w:t>
      </w:r>
    </w:p>
    <w:p>
      <w:pPr>
        <w:pStyle w:val="ListParagraph"/>
        <w:numPr>
          <w:ilvl w:val="0"/>
          <w:numId w:val="2"/>
        </w:numPr>
        <w:spacing w:after="80"/>
      </w:pPr>
      <w:r>
        <w:t xml:space="preserve">PROJECT_MEMORY/PROJECT_STATUS.md — authoritative build status and known issues</w:t>
      </w:r>
    </w:p>
    <w:p>
      <w:pPr>
        <w:pStyle w:val="ListParagraph"/>
        <w:numPr>
          <w:ilvl w:val="0"/>
          <w:numId w:val="2"/>
        </w:numPr>
        <w:spacing w:after="80"/>
      </w:pPr>
      <w:r>
        <w:t xml:space="preserve">docs/ROADMAP.md — authoritative roadmap (root-level ROADMAP.md is stale)</w:t>
      </w:r>
    </w:p>
    <w:p>
      <w:pPr>
        <w:pStyle w:val="ListParagraph"/>
        <w:numPr>
          <w:ilvl w:val="0"/>
          <w:numId w:val="2"/>
        </w:numPr>
        <w:spacing w:after="80"/>
      </w:pPr>
      <w:r>
        <w:t xml:space="preserve">docs/CODE_REVIEW.md — known security and quality findings</w:t>
      </w:r>
    </w:p>
    <w:p>
      <w:pPr>
        <w:pStyle w:val="Heading1"/>
      </w:pPr>
      <w:r>
        <w:t xml:space="preserve">6. Procedure</w:t>
      </w:r>
    </w:p>
    <w:p>
      <w:pPr>
        <w:pStyle w:val="Heading2"/>
      </w:pPr>
      <w:r>
        <w:t xml:space="preserve">6.1 Environment Setup</w:t>
      </w:r>
    </w:p>
    <w:p>
      <w:pPr>
        <w:pStyle w:val="ListParagraph"/>
        <w:numPr>
          <w:ilvl w:val="0"/>
          <w:numId w:val="3"/>
        </w:numPr>
        <w:spacing w:after="100"/>
      </w:pPr>
      <w:r>
        <w:t xml:space="preserve">Start the application: from the project root, run the Flask dev server per .claude/launch.json (“pharmagpt-flask” configuration) or python -m flask --app pharmagpt.app run.</w:t>
      </w:r>
    </w:p>
    <w:p>
      <w:pPr>
        <w:pStyle w:val="ListParagraph"/>
        <w:numPr>
          <w:ilvl w:val="0"/>
          <w:numId w:val="3"/>
        </w:numPr>
        <w:spacing w:after="100"/>
      </w:pPr>
      <w:r>
        <w:t xml:space="preserve">Confirm .env contains a valid GEMINI_API_KEY — every AI feature depends on it.</w:t>
      </w:r>
    </w:p>
    <w:p>
      <w:pPr>
        <w:pStyle w:val="ListParagraph"/>
        <w:numPr>
          <w:ilvl w:val="0"/>
          <w:numId w:val="3"/>
        </w:numPr>
        <w:spacing w:after="100"/>
      </w:pPr>
      <w:r>
        <w:t xml:space="preserve">Install test dependencies and run the automated suite: pip install -r requirements-dev.txt, then pytest. Expect 101 passed.</w:t>
      </w:r>
    </w:p>
    <w:p>
      <w:pPr>
        <w:pStyle w:val="ListParagraph"/>
        <w:numPr>
          <w:ilvl w:val="0"/>
          <w:numId w:val="3"/>
        </w:numPr>
        <w:spacing w:after="100"/>
      </w:pPr>
      <w:r>
        <w:t xml:space="preserve">Clean demonstration data: delete or archive leftover test projects/documents in the working database (e.g. “WAL Mode Test”, “Repro Test Project”, corrupted.pdf) or point DB_PATH at a fresh SQLite file so the audience sees realistic data.</w:t>
      </w:r>
    </w:p>
    <w:p>
      <w:pPr>
        <w:pStyle w:val="Heading2"/>
      </w:pPr>
      <w:r>
        <w:t xml:space="preserve">6.2 Module Test Matrix</w:t>
      </w:r>
    </w:p>
    <w:p>
      <w:pPr>
        <w:spacing w:after="160"/>
      </w:pPr>
      <w:r>
        <w:rPr>
          <w:i/>
          <w:iCs/>
          <w:color w:val="666666"/>
          <w:sz w:val="18"/>
          <w:szCs w:val="18"/>
        </w:rPr>
        <w:t xml:space="preserve">Execute each row below in order. “Status” reflects the module's state as of this SOP's issue date — “Newly wired” modules only recently received a sidebar entry point and warrant closer attention during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3300"/>
        <w:gridCol w:w="2746"/>
      </w:tblGrid>
      <w:tr>
        <w:trPr>
          <w:tblHeader/>
        </w:trPr>
        <w:tc>
          <w:tcPr>
            <w:tcW w:type="dxa" w:w="5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w:t>
            </w:r>
          </w:p>
        </w:tc>
        <w:tc>
          <w:tcPr>
            <w:tcW w:type="dxa" w:w="20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Module</w:t>
            </w:r>
          </w:p>
        </w:tc>
        <w:tc>
          <w:tcPr>
            <w:tcW w:type="dxa" w:w="12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Status</w:t>
            </w:r>
          </w:p>
        </w:tc>
        <w:tc>
          <w:tcPr>
            <w:tcW w:type="dxa" w:w="33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Process Flow</w:t>
            </w:r>
          </w:p>
        </w:tc>
        <w:tc>
          <w:tcPr>
            <w:tcW w:type="dxa" w:w="274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Test Procedure / Acceptance</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Home Dashboard</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Aggregated stats load on page open from /dashboard/stats.</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Hard-refresh; confirm all 7 stat cards populate; click Refresh; verify counts change after creating a project.</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2</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AI Chat Assistant</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Select project → send message → SSE stream → optional document-context injection → Sources strip.</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Send a message with and without “Use Project Documents” enabled; verify streaming and Sources strip; test Clear Chat.</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3</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Project Management</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Create/select/delete projects; each project scopes its own chat, documents, and generated docs.</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2 projects, switch between them, delete one and confirm cascade delete of its data only.</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4</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Document Management + Intelligence Engine</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Upload → async multi-engine extraction (pypdf/pdfplumber/PyMuPDF) → status polling → Insights.</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Upload PDF/DOCX/XLSX plus one corrupted file; confirm extraction status and Retry; verify view/download/delete.</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5</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Knowledge Base</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Upload with metadata (folder/tags/version/dates) → async extraction → combinable search → detail preview.</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Upload to 3 folders; run each search filter alone and combined; confirm overdue review-date highlighting.</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6</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Validation Document Generator (11 types)</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4-step wizard (Equipment → Details → Reference Docs → Generate) → SSE draft → export/save.</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Generate at least one URS/IQ/OQ document; export DOCX and Print/PDF; Save to Project and re-open.</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7</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Validation Workspace</w:t>
            </w:r>
          </w:p>
        </w:tc>
        <w:tc>
          <w:tcPr>
            <w:tcW w:type="dxa" w:w="1200"/>
            <w:tcBorders>
              <w:top w:val="single" w:color="B8AFA6" w:sz="2"/>
              <w:left w:val="single" w:color="B8AFA6" w:sz="2"/>
              <w:bottom w:val="single" w:color="B8AFA6" w:sz="2"/>
              <w:right w:val="single" w:color="B8AFA6" w:sz="2"/>
            </w:tcBorders>
            <w:shd w:fill="E7EEF6" w:val="clear"/>
            <w:tcMar>
              <w:top w:type="dxa" w:w="70"/>
              <w:left w:type="dxa" w:w="100"/>
              <w:bottom w:type="dxa" w:w="70"/>
              <w:right w:type="dxa" w:w="100"/>
            </w:tcMar>
            <w:vAlign w:val="center"/>
          </w:tcPr>
          <w:p>
            <w:r>
              <w:rPr>
                <w:b w:val="false"/>
                <w:bCs w:val="false"/>
                <w:sz w:val="18"/>
                <w:szCs w:val="18"/>
              </w:rPr>
              <w:t xml:space="preserve">Partial</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Create/track val_projects with owner, approver, target date, status, and audit trail.</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a workspace project, change its status, confirm an audit-trail entry is recorded.</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8</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Risk Management Suite</w:t>
            </w:r>
          </w:p>
        </w:tc>
        <w:tc>
          <w:tcPr>
            <w:tcW w:type="dxa" w:w="1200"/>
            <w:tcBorders>
              <w:top w:val="single" w:color="B8AFA6" w:sz="2"/>
              <w:left w:val="single" w:color="B8AFA6" w:sz="2"/>
              <w:bottom w:val="single" w:color="B8AFA6" w:sz="2"/>
              <w:right w:val="single" w:color="B8AFA6" w:sz="2"/>
            </w:tcBorders>
            <w:shd w:fill="FFF4E5" w:val="clear"/>
            <w:tcMar>
              <w:top w:type="dxa" w:w="70"/>
              <w:left w:type="dxa" w:w="100"/>
              <w:bottom w:type="dxa" w:w="70"/>
              <w:right w:type="dxa" w:w="100"/>
            </w:tcMar>
            <w:vAlign w:val="center"/>
          </w:tcPr>
          <w:p>
            <w:r>
              <w:rPr>
                <w:b w:val="false"/>
                <w:bCs w:val="false"/>
                <w:sz w:val="18"/>
                <w:szCs w:val="18"/>
              </w:rPr>
              <w:t xml:space="preserve">Newly wired</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Dashboard → New Assessment wizard → items → AI generate → review → mitigate → approval → publish → export.</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Click Risk Dashboard in sidebar; run New Assessment through all 4 wizard steps; verify AI-generate and export DOCX.</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9</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URS Management Suite</w:t>
            </w:r>
          </w:p>
        </w:tc>
        <w:tc>
          <w:tcPr>
            <w:tcW w:type="dxa" w:w="1200"/>
            <w:tcBorders>
              <w:top w:val="single" w:color="B8AFA6" w:sz="2"/>
              <w:left w:val="single" w:color="B8AFA6" w:sz="2"/>
              <w:bottom w:val="single" w:color="B8AFA6" w:sz="2"/>
              <w:right w:val="single" w:color="B8AFA6" w:sz="2"/>
            </w:tcBorders>
            <w:shd w:fill="FFF4E5" w:val="clear"/>
            <w:tcMar>
              <w:top w:type="dxa" w:w="70"/>
              <w:left w:type="dxa" w:w="100"/>
              <w:bottom w:type="dxa" w:w="70"/>
              <w:right w:type="dxa" w:w="100"/>
            </w:tcMar>
            <w:vAlign w:val="center"/>
          </w:tcPr>
          <w:p>
            <w:r>
              <w:rPr>
                <w:b w:val="false"/>
                <w:bCs w:val="false"/>
                <w:sz w:val="18"/>
                <w:szCs w:val="18"/>
              </w:rPr>
              <w:t xml:space="preserve">Newly wired</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Dashboard → New URS (category → project info → AI generation → requirements editor → approval).</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Click URS Dashboard in sidebar; create a New URS; run AI generation; save requirements; export DOCX.</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10</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Qualification Suite (IQ/OQ/PQ)</w:t>
            </w:r>
          </w:p>
        </w:tc>
        <w:tc>
          <w:tcPr>
            <w:tcW w:type="dxa" w:w="1200"/>
            <w:tcBorders>
              <w:top w:val="single" w:color="B8AFA6" w:sz="2"/>
              <w:left w:val="single" w:color="B8AFA6" w:sz="2"/>
              <w:bottom w:val="single" w:color="B8AFA6" w:sz="2"/>
              <w:right w:val="single" w:color="B8AFA6" w:sz="2"/>
            </w:tcBorders>
            <w:shd w:fill="FFF4E5" w:val="clear"/>
            <w:tcMar>
              <w:top w:type="dxa" w:w="70"/>
              <w:left w:type="dxa" w:w="100"/>
              <w:bottom w:type="dxa" w:w="70"/>
              <w:right w:type="dxa" w:w="100"/>
            </w:tcMar>
            <w:vAlign w:val="center"/>
          </w:tcPr>
          <w:p>
            <w:r>
              <w:rPr>
                <w:b w:val="false"/>
                <w:bCs w:val="false"/>
                <w:sz w:val="18"/>
                <w:szCs w:val="18"/>
              </w:rPr>
              <w:t xml:space="preserve">Newly wired</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qualification → protocols → test cases → AI generate → execute → complete → traceability → export.</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a qualification with 1 protocol and 2 test cases; execute both; complete protocol; export traceability.</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11</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Validation Report Suite</w:t>
            </w:r>
          </w:p>
        </w:tc>
        <w:tc>
          <w:tcPr>
            <w:tcW w:type="dxa" w:w="1200"/>
            <w:tcBorders>
              <w:top w:val="single" w:color="B8AFA6" w:sz="2"/>
              <w:left w:val="single" w:color="B8AFA6" w:sz="2"/>
              <w:bottom w:val="single" w:color="B8AFA6" w:sz="2"/>
              <w:right w:val="single" w:color="B8AFA6" w:sz="2"/>
            </w:tcBorders>
            <w:shd w:fill="FFF4E5" w:val="clear"/>
            <w:tcMar>
              <w:top w:type="dxa" w:w="70"/>
              <w:left w:type="dxa" w:w="100"/>
              <w:bottom w:type="dxa" w:w="70"/>
              <w:right w:type="dxa" w:w="100"/>
            </w:tcMar>
            <w:vAlign w:val="center"/>
          </w:tcPr>
          <w:p>
            <w:r>
              <w:rPr>
                <w:b w:val="false"/>
                <w:bCs w:val="false"/>
                <w:sz w:val="18"/>
                <w:szCs w:val="18"/>
              </w:rPr>
              <w:t xml:space="preserve">Newly wired</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report linked to a Qualification → per-section AI generation → review → approval → export.</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Link a report to the Qualification created in row 10; generate all sections; export DOCX and confirm content.</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12</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QMS – Document Control</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Auto-numbered document → lifecycle Draft→...→Effective → AI draft/review → distribution → training → approval.</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a document with department “QA”; verify auto-numbering; move through lifecycle; export DOCX.</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13</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QMS – Deviation Management</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deviation → AI Investigation Assistant → impact suggestion → CAPA suggestion/link → closure.</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Run AI Investigation on one deviation; use “Suggest CAPA” to create and link a CAPA; verify both directions.</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14</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QMS – CAPA</w:t>
            </w:r>
          </w:p>
        </w:tc>
        <w:tc>
          <w:tcPr>
            <w:tcW w:type="dxa" w:w="1200"/>
            <w:tcBorders>
              <w:top w:val="single" w:color="B8AFA6" w:sz="2"/>
              <w:left w:val="single" w:color="B8AFA6" w:sz="2"/>
              <w:bottom w:val="single" w:color="B8AFA6" w:sz="2"/>
              <w:right w:val="single" w:color="B8AFA6" w:sz="2"/>
            </w:tcBorders>
            <w:shd w:fill="E8F2EA" w:val="clear"/>
            <w:tcMar>
              <w:top w:type="dxa" w:w="70"/>
              <w:left w:type="dxa" w:w="100"/>
              <w:bottom w:type="dxa" w:w="70"/>
              <w:right w:type="dxa" w:w="100"/>
            </w:tcMar>
            <w:vAlign w:val="center"/>
          </w:tcPr>
          <w:p>
            <w:r>
              <w:rPr>
                <w:b w:val="false"/>
                <w:bCs w:val="false"/>
                <w:sz w:val="18"/>
                <w:szCs w:val="18"/>
              </w:rPr>
              <w:t xml:space="preserve">Live</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CAPA → actions → escalation → effectiveness check → AI Quality Trend Summary → approval.</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Create a standalone CAPA; escalate one action; run AI Quality Trend Summary; confirm relevant, non-generic output.</w:t>
            </w:r>
          </w:p>
        </w:tc>
      </w:tr>
      <w:tr>
        <w:tc>
          <w:tcPr>
            <w:tcW w:type="dxa" w:w="5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15</w:t>
            </w:r>
          </w:p>
        </w:tc>
        <w:tc>
          <w:tcPr>
            <w:tcW w:type="dxa" w:w="20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QMS – Change Control</w:t>
            </w:r>
          </w:p>
        </w:tc>
        <w:tc>
          <w:tcPr>
            <w:tcW w:type="dxa" w:w="1200"/>
            <w:tcBorders>
              <w:top w:val="single" w:color="B8AFA6" w:sz="2"/>
              <w:left w:val="single" w:color="B8AFA6" w:sz="2"/>
              <w:bottom w:val="single" w:color="B8AFA6" w:sz="2"/>
              <w:right w:val="single" w:color="B8AFA6" w:sz="2"/>
            </w:tcBorders>
            <w:shd w:fill="FBEAEA" w:val="clear"/>
            <w:tcMar>
              <w:top w:type="dxa" w:w="70"/>
              <w:left w:type="dxa" w:w="100"/>
              <w:bottom w:type="dxa" w:w="70"/>
              <w:right w:type="dxa" w:w="100"/>
            </w:tcMar>
            <w:vAlign w:val="center"/>
          </w:tcPr>
          <w:p>
            <w:r>
              <w:rPr>
                <w:b w:val="false"/>
                <w:bCs w:val="false"/>
                <w:sz w:val="18"/>
                <w:szCs w:val="18"/>
              </w:rPr>
              <w:t xml:space="preserve">Live (uncommitted)</w:t>
            </w:r>
          </w:p>
        </w:tc>
        <w:tc>
          <w:tcPr>
            <w:tcW w:type="dxa" w:w="33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13-stage lifecycle Draft→...→Closed with rejection from any stage; 9 optional AI features; links to Deviation/CAPA.</w:t>
            </w:r>
          </w:p>
        </w:tc>
        <w:tc>
          <w:tcPr>
            <w:tcW w:type="dxa" w:w="27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Step one change through all 13 stages; trigger rejection from a mid-lifecycle stage; run 3 AI features; commit to git.</w:t>
            </w:r>
          </w:p>
        </w:tc>
      </w:tr>
    </w:tbl>
    <w:p>
      <w:r>
        <w:br w:type="page"/>
      </w:r>
    </w:p>
    <w:p>
      <w:pPr>
        <w:pStyle w:val="Heading2"/>
      </w:pPr>
      <w:r>
        <w:t xml:space="preserve">6.3 Cross-Cutting / Non-Functional Checks</w:t>
      </w:r>
    </w:p>
    <w:p>
      <w:pPr>
        <w:pStyle w:val="ListParagraph"/>
        <w:numPr>
          <w:ilvl w:val="0"/>
          <w:numId w:val="3"/>
        </w:numPr>
        <w:spacing w:after="100"/>
      </w:pPr>
      <w:r>
        <w:t xml:space="preserve">Console check: open browser DevTools on every screen included in the demo; confirm zero red console errors.</w:t>
      </w:r>
    </w:p>
    <w:p>
      <w:pPr>
        <w:pStyle w:val="ListParagraph"/>
        <w:numPr>
          <w:ilvl w:val="0"/>
          <w:numId w:val="3"/>
        </w:numPr>
        <w:spacing w:after="100"/>
      </w:pPr>
      <w:r>
        <w:t xml:space="preserve">Network check: repeat the same walkthrough with the Network tab open, filtered to 4xx/5xx responses; confirm none appear.</w:t>
      </w:r>
    </w:p>
    <w:p>
      <w:pPr>
        <w:pStyle w:val="ListParagraph"/>
        <w:numPr>
          <w:ilvl w:val="0"/>
          <w:numId w:val="3"/>
        </w:numPr>
        <w:spacing w:after="100"/>
      </w:pPr>
      <w:r>
        <w:t xml:space="preserve">SSE resilience: start a chat message or document generation, navigate away mid-stream, and confirm no broken state on return.</w:t>
      </w:r>
    </w:p>
    <w:p>
      <w:pPr>
        <w:pStyle w:val="ListParagraph"/>
        <w:numPr>
          <w:ilvl w:val="0"/>
          <w:numId w:val="3"/>
        </w:numPr>
        <w:spacing w:after="100"/>
      </w:pPr>
      <w:r>
        <w:t xml:space="preserve">Two-tab test: open the app in two tabs, edit a project in one, refresh the other, and confirm no data corruption.</w:t>
      </w:r>
    </w:p>
    <w:p>
      <w:pPr>
        <w:pStyle w:val="ListParagraph"/>
        <w:numPr>
          <w:ilvl w:val="0"/>
          <w:numId w:val="3"/>
        </w:numPr>
        <w:spacing w:after="100"/>
      </w:pPr>
      <w:r>
        <w:t xml:space="preserve">Fresh-restart test: stop and restart the Flask process, reload the browser, and confirm chat history and all project/document data persist correctly.</w:t>
      </w:r>
    </w:p>
    <w:p>
      <w:pPr>
        <w:pStyle w:val="ListParagraph"/>
        <w:numPr>
          <w:ilvl w:val="0"/>
          <w:numId w:val="3"/>
        </w:numPr>
        <w:spacing w:after="100"/>
      </w:pPr>
      <w:r>
        <w:t xml:space="preserve">Viewport check: confirm the demo machine uses a standard desktop resolution (1280px or wider) — the UI is not yet mobile-responsive.</w:t>
      </w:r>
    </w:p>
    <w:p>
      <w:pPr>
        <w:pStyle w:val="ListParagraph"/>
        <w:numPr>
          <w:ilvl w:val="0"/>
          <w:numId w:val="3"/>
        </w:numPr>
        <w:spacing w:after="100"/>
      </w:pPr>
      <w:r>
        <w:t xml:space="preserve">Full regression: re-run pytest immediately before the demonstration; 101/101 expected.</w:t>
      </w:r>
    </w:p>
    <w:p>
      <w:pPr>
        <w:pStyle w:val="Heading2"/>
      </w:pPr>
      <w:r>
        <w:t xml:space="preserve">6.4 Demo Readiness Sign-off</w:t>
      </w:r>
    </w:p>
    <w:p>
      <w:pPr>
        <w:spacing w:after="160"/>
      </w:pPr>
      <w:r>
        <w:t xml:space="preserve">The Project Owner (Section 3) must confirm every item below before authorizing a demonstration:</w:t>
      </w:r>
    </w:p>
    <w:p>
      <w:pPr>
        <w:pStyle w:val="ListParagraph"/>
        <w:numPr>
          <w:ilvl w:val="0"/>
          <w:numId w:val="2"/>
        </w:numPr>
        <w:spacing w:after="80"/>
      </w:pPr>
      <w:r>
        <w:t xml:space="preserve">pytest run, 101/101 passing</w:t>
      </w:r>
    </w:p>
    <w:p>
      <w:pPr>
        <w:pStyle w:val="ListParagraph"/>
        <w:numPr>
          <w:ilvl w:val="0"/>
          <w:numId w:val="2"/>
        </w:numPr>
        <w:spacing w:after="80"/>
      </w:pPr>
      <w:r>
        <w:t xml:space="preserve">Demonstration database cleaned of test artifacts, or a fresh DB_PATH is in use</w:t>
      </w:r>
    </w:p>
    <w:p>
      <w:pPr>
        <w:pStyle w:val="ListParagraph"/>
        <w:numPr>
          <w:ilvl w:val="0"/>
          <w:numId w:val="2"/>
        </w:numPr>
        <w:spacing w:after="80"/>
      </w:pPr>
      <w:r>
        <w:t xml:space="preserve">All 15 rows of the Module Test Matrix (Section 6.2) executed with no unresolved failures</w:t>
      </w:r>
    </w:p>
    <w:p>
      <w:pPr>
        <w:pStyle w:val="ListParagraph"/>
        <w:numPr>
          <w:ilvl w:val="0"/>
          <w:numId w:val="2"/>
        </w:numPr>
        <w:spacing w:after="80"/>
      </w:pPr>
      <w:r>
        <w:t xml:space="preserve">Cross-cutting checks (Section 6.3) completed with no unresolved failures</w:t>
      </w:r>
    </w:p>
    <w:p>
      <w:pPr>
        <w:pStyle w:val="ListParagraph"/>
        <w:numPr>
          <w:ilvl w:val="0"/>
          <w:numId w:val="2"/>
        </w:numPr>
        <w:spacing w:after="80"/>
      </w:pPr>
      <w:r>
        <w:t xml:space="preserve">QMS Change Control committed to version control (was uncommitted as of this SOP's issue date)</w:t>
      </w:r>
    </w:p>
    <w:p>
      <w:pPr>
        <w:pStyle w:val="ListParagraph"/>
        <w:numPr>
          <w:ilvl w:val="0"/>
          <w:numId w:val="2"/>
        </w:numPr>
        <w:spacing w:after="80"/>
      </w:pPr>
      <w:r>
        <w:t xml:space="preserve">GEMINI_API_KEY confirmed valid and not near any quota limit</w:t>
      </w:r>
    </w:p>
    <w:p>
      <w:pPr>
        <w:pStyle w:val="ListParagraph"/>
        <w:numPr>
          <w:ilvl w:val="0"/>
          <w:numId w:val="2"/>
        </w:numPr>
        <w:spacing w:after="80"/>
      </w:pPr>
      <w:r>
        <w:t xml:space="preserve">A full dry run of the demonstration completed, start to finish, on the actual machine/network to be used live</w:t>
      </w:r>
    </w:p>
    <w:p>
      <w:pPr>
        <w:pStyle w:val="Heading1"/>
      </w:pPr>
      <w:r>
        <w:t xml:space="preserve">7. Records</w:t>
      </w:r>
    </w:p>
    <w:p>
      <w:pPr>
        <w:spacing w:after="160"/>
      </w:pPr>
      <w:r>
        <w:t xml:space="preserve">The completed Module Test Matrix and sign-off checklist for each demonstration cycle shall be retained as evidence of pre-demonstration validation, filed alongside the project's QA records for a minimum of one review cycle.</w:t>
      </w:r>
    </w:p>
    <w:p>
      <w:pPr>
        <w:pStyle w:val="Heading1"/>
      </w:pPr>
      <w:r>
        <w:t xml:space="preserve">8. 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946"/>
      </w:tblGrid>
      <w:tr>
        <w:trPr>
          <w:tblHeader/>
        </w:trPr>
        <w:tc>
          <w:tcPr>
            <w:tcW w:type="dxa" w:w="14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Version</w:t>
            </w:r>
          </w:p>
        </w:tc>
        <w:tc>
          <w:tcPr>
            <w:tcW w:type="dxa" w:w="16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Date</w:t>
            </w:r>
          </w:p>
        </w:tc>
        <w:tc>
          <w:tcPr>
            <w:tcW w:type="dxa" w:w="2800"/>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Author</w:t>
            </w:r>
          </w:p>
        </w:tc>
        <w:tc>
          <w:tcPr>
            <w:tcW w:type="dxa" w:w="394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Description of Change</w:t>
            </w:r>
          </w:p>
        </w:tc>
      </w:tr>
      <w:tr>
        <w:tc>
          <w:tcPr>
            <w:tcW w:type="dxa" w:w="14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1.0</w:t>
            </w:r>
          </w:p>
        </w:tc>
        <w:tc>
          <w:tcPr>
            <w:tcW w:type="dxa" w:w="16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2026-07-06</w:t>
            </w:r>
          </w:p>
        </w:tc>
        <w:tc>
          <w:tcPr>
            <w:tcW w:type="dxa" w:w="2800"/>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QA / Development Team</w:t>
            </w:r>
          </w:p>
        </w:tc>
        <w:tc>
          <w:tcPr>
            <w:tcW w:type="dxa" w:w="394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Initial issue — pre-demo testing &amp; validation procedure for all PharmaGPT modules, including newly wired Risk / URS / Qualification / Validation Report suites.</w:t>
            </w:r>
          </w:p>
        </w:tc>
      </w:tr>
    </w:tbl>
    <w:p>
      <w:pPr>
        <w:spacing w:before="320"/>
      </w:pPr>
    </w:p>
    <w:p>
      <w:pPr>
        <w:pStyle w:val="Heading1"/>
      </w:pPr>
      <w:r>
        <w:t xml:space="preserve">9.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Role</w:t>
            </w:r>
          </w:p>
        </w:tc>
        <w:tc>
          <w:tcPr>
            <w:tcW w:type="dxa" w:w="243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Name</w:t>
            </w:r>
          </w:p>
        </w:tc>
        <w:tc>
          <w:tcPr>
            <w:tcW w:type="dxa" w:w="2436"/>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Signature</w:t>
            </w:r>
          </w:p>
        </w:tc>
        <w:tc>
          <w:tcPr>
            <w:tcW w:type="dxa" w:w="2438"/>
            <w:tcBorders>
              <w:top w:val="single" w:color="B8AFA6" w:sz="2"/>
              <w:left w:val="single" w:color="B8AFA6" w:sz="2"/>
              <w:bottom w:val="single" w:color="B8AFA6" w:sz="2"/>
              <w:right w:val="single" w:color="B8AFA6" w:sz="2"/>
            </w:tcBorders>
            <w:shd w:fill="5B4C43" w:val="clear"/>
            <w:tcMar>
              <w:top w:type="dxa" w:w="80"/>
              <w:left w:type="dxa" w:w="100"/>
              <w:bottom w:type="dxa" w:w="80"/>
              <w:right w:type="dxa" w:w="100"/>
            </w:tcMar>
            <w:vAlign w:val="center"/>
          </w:tcPr>
          <w:p>
            <w:r>
              <w:rPr>
                <w:b/>
                <w:bCs/>
                <w:color w:val="FFFFFF"/>
                <w:sz w:val="18"/>
                <w:szCs w:val="18"/>
              </w:rPr>
              <w:t xml:space="preserve">Date</w:t>
            </w:r>
          </w:p>
        </w:tc>
      </w:tr>
      <w:tr>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Prepared By</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8"/>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r>
      <w:tr>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Reviewed By</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8"/>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r>
      <w:tr>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bCs/>
                <w:sz w:val="18"/>
                <w:szCs w:val="18"/>
              </w:rPr>
              <w:t xml:space="preserve">Approved By</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6"/>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c>
          <w:tcPr>
            <w:tcW w:type="dxa" w:w="2438"/>
            <w:tcBorders>
              <w:top w:val="single" w:color="B8AFA6" w:sz="2"/>
              <w:left w:val="single" w:color="B8AFA6" w:sz="2"/>
              <w:bottom w:val="single" w:color="B8AFA6" w:sz="2"/>
              <w:right w:val="single" w:color="B8AFA6" w:sz="2"/>
            </w:tcBorders>
            <w:tcMar>
              <w:top w:type="dxa" w:w="70"/>
              <w:left w:type="dxa" w:w="100"/>
              <w:bottom w:type="dxa" w:w="70"/>
              <w:right w:type="dxa" w:w="100"/>
            </w:tcMar>
            <w:vAlign w:val="center"/>
          </w:tcPr>
          <w:p>
            <w:r>
              <w:rPr>
                <w:b w:val="false"/>
                <w:bCs w:val="false"/>
                <w:sz w:val="18"/>
                <w:szCs w:val="18"/>
              </w:rPr>
              <w:t xml:space="preserve"> </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999999"/>
        <w:sz w:val="16"/>
        <w:szCs w:val="16"/>
      </w:rPr>
      <w:t xml:space="preserve">  —  Uncontrolled copy if printed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FA6" w:sz="4" w:space="4"/>
      </w:pBdr>
      <w:tabs>
        <w:tab w:val="right" w:pos="9026"/>
      </w:tabs>
    </w:pPr>
    <w:r>
      <w:rPr>
        <w:b/>
        <w:bCs/>
        <w:color w:val="1F3864"/>
        <w:sz w:val="18"/>
        <w:szCs w:val="18"/>
      </w:rPr>
      <w:t xml:space="preserve">PharmaGPT</w:t>
    </w:r>
    <w:r>
      <w:rPr>
        <w:color w:val="666666"/>
        <w:sz w:val="16"/>
        <w:szCs w:val="16"/>
      </w:rPr>
      <w:t xml:space="preserve">	SOP-QA-002 ·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B52" w:sz="6"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8A6B5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2026-07-06T16:43:19.718Z</dcterms:created>
  <dcterms:modified xsi:type="dcterms:W3CDTF">2026-07-06T16:43:19.719Z</dcterms:modified>
</cp:coreProperties>
</file>

<file path=docProps/custom.xml><?xml version="1.0" encoding="utf-8"?>
<Properties xmlns="http://schemas.openxmlformats.org/officeDocument/2006/custom-properties" xmlns:vt="http://schemas.openxmlformats.org/officeDocument/2006/docPropsVTypes"/>
</file>