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A3A5C" w:val="clear"/>
            <w:tcMar>
              <w:top w:type="dxa" w:w="600"/>
              <w:left w:type="dxa" w:w="480"/>
              <w:bottom w:type="dxa" w:w="600"/>
              <w:right w:type="dxa" w:w="480"/>
            </w:tcMar>
          </w:tcPr>
          <w:p>
            <w:pPr>
              <w:spacing w:after="120" w:before="0"/>
            </w:pPr>
            <w:r>
              <w:rPr>
                <w:rFonts w:ascii="Arial" w:cs="Arial" w:eastAsia="Arial" w:hAnsi="Arial"/>
                <w:b/>
                <w:bCs/>
                <w:color w:val="FFFFFF"/>
                <w:sz w:val="48"/>
                <w:szCs w:val="48"/>
              </w:rPr>
              <w:t xml:space="preserve">MEMORIA TÉCNICA</w:t>
            </w:r>
          </w:p>
          <w:p>
            <w:pPr>
              <w:spacing w:after="240" w:before="0"/>
            </w:pPr>
            <w:r>
              <w:rPr>
                <w:rFonts w:ascii="Arial" w:cs="Arial" w:eastAsia="Arial" w:hAnsi="Arial"/>
                <w:b w:val="false"/>
                <w:bCs w:val="false"/>
                <w:color w:val="A8C8E8"/>
                <w:sz w:val="30"/>
                <w:szCs w:val="30"/>
              </w:rPr>
              <w:t xml:space="preserve">Algorand (ALGO): Análisis Experto de la Red Blockchain</w:t>
            </w:r>
          </w:p>
          <w:p>
            <w:r>
              <w:rPr>
                <w:rFonts w:ascii="Arial" w:cs="Arial" w:eastAsia="Arial" w:hAnsi="Arial"/>
                <w:i/>
                <w:iCs/>
                <w:color w:val="7AACCC"/>
                <w:sz w:val="22"/>
                <w:szCs w:val="22"/>
              </w:rPr>
              <w:t xml:space="preserve">Tecnología · Funcionamiento · Comparativa · Caso de Uso</w:t>
            </w:r>
          </w:p>
        </w:tc>
      </w:tr>
    </w:tbl>
    <w:p>
      <w:r>
        <w:rPr>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c>
          <w:tcPr>
            <w:tcW w:type="dxa" w:w="4600"/>
            <w:tcBorders>
              <w:top w:val="single" w:color="CCCCCC" w:sz="1"/>
              <w:left w:val="single" w:color="CCCCCC" w:sz="1"/>
              <w:bottom w:val="single" w:color="CCCCCC" w:sz="1"/>
              <w:right w:val="none" w:sz="0"/>
            </w:tcBorders>
            <w:shd w:fill="F4F6F9" w:val="clear"/>
            <w:tcMar>
              <w:top w:type="dxa" w:w="120"/>
              <w:left w:type="dxa" w:w="200"/>
              <w:bottom w:type="dxa" w:w="120"/>
              <w:right w:type="dxa" w:w="200"/>
            </w:tcMar>
          </w:tcPr>
          <w:p>
            <w:r>
              <w:rPr>
                <w:rFonts w:ascii="Arial" w:cs="Arial" w:eastAsia="Arial" w:hAnsi="Arial"/>
                <w:b/>
                <w:bCs/>
                <w:color w:val="1A3A5C"/>
                <w:sz w:val="19"/>
                <w:szCs w:val="19"/>
              </w:rPr>
              <w:t xml:space="preserve">Fecha de elaboración</w:t>
            </w:r>
          </w:p>
          <w:p>
            <w:r>
              <w:rPr>
                <w:rFonts w:ascii="Arial" w:cs="Arial" w:eastAsia="Arial" w:hAnsi="Arial"/>
                <w:color w:val="2C2C2C"/>
                <w:sz w:val="19"/>
                <w:szCs w:val="19"/>
              </w:rPr>
              <w:t xml:space="preserve">Mayo de 2026</w:t>
            </w:r>
          </w:p>
        </w:tc>
        <w:tc>
          <w:tcPr>
            <w:tcW w:type="dxa" w:w="4906"/>
            <w:tcBorders>
              <w:top w:val="single" w:color="CCCCCC" w:sz="1"/>
              <w:left w:val="none" w:sz="0"/>
              <w:bottom w:val="single" w:color="CCCCCC" w:sz="1"/>
              <w:right w:val="single" w:color="CCCCCC" w:sz="1"/>
            </w:tcBorders>
            <w:shd w:fill="F4F6F9" w:val="clear"/>
            <w:tcMar>
              <w:top w:type="dxa" w:w="120"/>
              <w:left w:type="dxa" w:w="200"/>
              <w:bottom w:type="dxa" w:w="120"/>
              <w:right w:type="dxa" w:w="200"/>
            </w:tcMar>
          </w:tcPr>
          <w:p>
            <w:r>
              <w:rPr>
                <w:rFonts w:ascii="Arial" w:cs="Arial" w:eastAsia="Arial" w:hAnsi="Arial"/>
                <w:b/>
                <w:bCs/>
                <w:color w:val="1A3A5C"/>
                <w:sz w:val="19"/>
                <w:szCs w:val="19"/>
              </w:rPr>
              <w:t xml:space="preserve">Área de conocimiento</w:t>
            </w:r>
          </w:p>
          <w:p>
            <w:r>
              <w:rPr>
                <w:rFonts w:ascii="Arial" w:cs="Arial" w:eastAsia="Arial" w:hAnsi="Arial"/>
                <w:color w:val="2C2C2C"/>
                <w:sz w:val="19"/>
                <w:szCs w:val="19"/>
              </w:rPr>
              <w:t xml:space="preserve">Tecnología Blockchain · DeFi · Smart Contracts</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1. QUÉ ES ALGORAND</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1.1 Origen y visión fundacional</w:t>
      </w:r>
    </w:p>
    <w:p>
      <w:pPr>
        <w:spacing w:after="120" w:before="80" w:line="276"/>
        <w:jc w:val="both"/>
      </w:pPr>
      <w:r>
        <w:rPr>
          <w:rFonts w:ascii="Arial" w:cs="Arial" w:eastAsia="Arial" w:hAnsi="Arial"/>
          <w:color w:val="2C2C2C"/>
          <w:sz w:val="22"/>
          <w:szCs w:val="22"/>
        </w:rPr>
        <w:t xml:space="preserve">Algorand es una red blockchain de tercera generación diseñada desde sus cimientos para superar las limitaciones que históricamente han afectado a las blockchains de primera y segunda generación. El proyecto fue concebido en 2017 por Silvio Micali, catedrático del Massachusetts Institute of Technology (MIT), ganador del Premio Turing en 2012 —el galardón más prestigioso de la informática, comparable al Nobel en otras disciplinas— y especialista reconocido internacionalmente en criptografía. La red mainnet se lanzó oficialmente en junio de 2019.</w:t>
      </w:r>
    </w:p>
    <w:p>
      <w:r>
        <w:rPr>
          <w:sz w:val="22"/>
          <w:szCs w:val="22"/>
        </w:rPr>
        <w:t xml:space="preserve"/>
      </w:r>
    </w:p>
    <w:p>
      <w:pPr>
        <w:spacing w:after="120" w:before="80" w:line="276"/>
        <w:jc w:val="both"/>
      </w:pPr>
      <w:r>
        <w:rPr>
          <w:rFonts w:ascii="Arial" w:cs="Arial" w:eastAsia="Arial" w:hAnsi="Arial"/>
          <w:color w:val="2C2C2C"/>
          <w:sz w:val="22"/>
          <w:szCs w:val="22"/>
        </w:rPr>
        <w:t xml:space="preserve">Lo que distingue a Algorand en su concepción no es únicamente su ambición tecnológica, sino el rigor académico que sustenta cada decisión de diseño. Micali partió de una premisa clara: existía lo que la industria denomina el «trilema blockchain», según el cual ninguna red podía ser simultáneamente segura, escalable y descentralizada sin sacrificar alguna de estas tres propiedades. Algorand se propuso resolver este trilema de forma matemáticamente fundamentada, no mediante soluciones de compromiso, sino mediante un mecanismo de consenso radicalmente diferente.</w:t>
      </w:r>
    </w:p>
    <w:p>
      <w:r>
        <w:rPr>
          <w:sz w:val="22"/>
          <w:szCs w:val="22"/>
        </w:rPr>
        <w:t xml:space="preserve"/>
      </w:r>
    </w:p>
    <w:p>
      <w:pPr>
        <w:pStyle w:val="Heading2"/>
        <w:spacing w:after="120" w:before="300"/>
      </w:pPr>
      <w:r>
        <w:rPr>
          <w:rFonts w:ascii="Arial" w:cs="Arial" w:eastAsia="Arial" w:hAnsi="Arial"/>
          <w:b/>
          <w:bCs/>
          <w:color w:val="0D7377"/>
          <w:sz w:val="26"/>
          <w:szCs w:val="26"/>
        </w:rPr>
        <w:t xml:space="preserve">1.2 Definición y propósito</w:t>
      </w:r>
    </w:p>
    <w:p>
      <w:pPr>
        <w:spacing w:after="120" w:before="80" w:line="276"/>
        <w:jc w:val="both"/>
      </w:pPr>
      <w:r>
        <w:rPr>
          <w:rFonts w:ascii="Arial" w:cs="Arial" w:eastAsia="Arial" w:hAnsi="Arial"/>
          <w:color w:val="2C2C2C"/>
          <w:sz w:val="22"/>
          <w:szCs w:val="22"/>
        </w:rPr>
        <w:t xml:space="preserve">Algorand es una blockchain pública, permissionless (sin permisos de acceso) y descentralizada, cuya arquitectura está orientada a dar soporte a aplicaciones de alto rendimiento en los ámbitos de las finanzas descentralizadas (DeFi), las monedas digitales de bancos centrales (CBDC), los activos digitales (NFT, tokens), y cualquier forma de contrato inteligente que requiera velocidad, bajo coste y seguridad verificable. Su token nativo es ALGO, que cumple las funciones de medio de pago de comisiones, instrumento de participación en el consenso y mecanismo de gobernanza.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12"/>
              <w:bottom w:val="single" w:color="CCCCCC" w:sz="1"/>
              <w:right w:val="single" w:color="CCCCCC" w:sz="1"/>
            </w:tcBorders>
            <w:shd w:fill="EBF5F5" w:val="clear"/>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Dato clave: el trilema blockchain resuelto</w:t>
            </w:r>
          </w:p>
          <w:p>
            <w:pPr>
              <w:spacing w:after="0" w:before="0" w:line="276"/>
              <w:jc w:val="both"/>
            </w:pPr>
            <w:r>
              <w:rPr>
                <w:rFonts w:ascii="Arial" w:cs="Arial" w:eastAsia="Arial" w:hAnsi="Arial"/>
                <w:color w:val="2C2C2C"/>
                <w:sz w:val="22"/>
                <w:szCs w:val="22"/>
              </w:rPr>
              <w:t xml:space="preserve">Algorand es, hasta la fecha, una de las pocas redes que puede demostrar formalmente —con pruebas criptográficas— que cumple las tres propiedades del trilema de forma simultánea: seguridad (tolerancia a actores maliciosos siempre que menos de 1/3 del stake esté comprometido), escalabilidad (hasta 2.000 TPS con finalidad en &lt; 5 segundos) y descentralización (cualquier titular de 1 ALGO puede participar en el consenso).</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1.3 Ecosistema institucional</w:t>
      </w:r>
    </w:p>
    <w:p>
      <w:pPr>
        <w:spacing w:after="120" w:before="80" w:line="276"/>
        <w:jc w:val="both"/>
      </w:pPr>
      <w:r>
        <w:rPr>
          <w:rFonts w:ascii="Arial" w:cs="Arial" w:eastAsia="Arial" w:hAnsi="Arial"/>
          <w:color w:val="2C2C2C"/>
          <w:sz w:val="22"/>
          <w:szCs w:val="22"/>
        </w:rPr>
        <w:t xml:space="preserve">La estructura organizativa de Algorand pivota sobre dos entidades complementarias. La Fundación Algorand, sin ánimo de lucro con sede en Singapur, asume la gobernanza del protocolo, el desarrollo open source, la educación y la descentralización de la red. Algorand Inc., empresa privada con sede en Boston, lidera el desarrollo técnico del protocolo y la adopción empresarial. Esta dualidad —fundación pública + empresa tecnológica— es un modelo poco habitual en el ecosistema blockchain y aporta una combinación de transparencia institucional e innovación corporativa.</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2. CÓMO FUNCIONA LA RED BLOCKCHAIN DE ALGORAND</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2.1 Pure Proof of Stake (PPoS): el motor del consenso</w:t>
      </w:r>
    </w:p>
    <w:p>
      <w:pPr>
        <w:spacing w:after="120" w:before="80" w:line="276"/>
        <w:jc w:val="both"/>
      </w:pPr>
      <w:r>
        <w:rPr>
          <w:rFonts w:ascii="Arial" w:cs="Arial" w:eastAsia="Arial" w:hAnsi="Arial"/>
          <w:color w:val="2C2C2C"/>
          <w:sz w:val="22"/>
          <w:szCs w:val="22"/>
        </w:rPr>
        <w:t xml:space="preserve">El mecanismo de consenso es el corazón de cualquier blockchain, pues determina cómo los nodos de la red se ponen de acuerdo sobre qué transacciones son válidas y en qué orden se añaden al libro mayor distribuido. La innovación central de Algorand reside en su protocolo denominado Pure Proof of Stake (PPoS), que difiere sustancialmente tanto del Proof of Work (PoW) de Bitcoin como del Proof of Stake (PoS) convencional de redes como Ethereum.</w:t>
      </w:r>
    </w:p>
    <w:p>
      <w:r>
        <w:rPr>
          <w:sz w:val="22"/>
          <w:szCs w:val="22"/>
        </w:rPr>
        <w:t xml:space="preserve"/>
      </w:r>
    </w:p>
    <w:p>
      <w:pPr>
        <w:spacing w:after="120" w:before="80" w:line="276"/>
        <w:jc w:val="both"/>
      </w:pPr>
      <w:r>
        <w:rPr>
          <w:rFonts w:ascii="Arial" w:cs="Arial" w:eastAsia="Arial" w:hAnsi="Arial"/>
          <w:color w:val="2C2C2C"/>
          <w:sz w:val="22"/>
          <w:szCs w:val="22"/>
        </w:rPr>
        <w:t xml:space="preserve">En el PPoS de Algorand, el proceso de consenso se desarrolla en tres fases bien definidas. En la primera, la red selecciona aleatoriamente un «líder de bloque» de entre todos los titulares de ALGO, utilizando una herramienta criptográfica llamada Función Aleatoria Verificable (VRF, por sus siglas en inglés). La selección es proporcional al stake de cada participante, pero completamente opaca hasta el momento en que el líder se autorevela. Esto es fundamental: ningún actor externo sabe quién será el siguiente validador, eliminando de raíz cualquier posibilidad de ataque dirigido.</w:t>
      </w:r>
    </w:p>
    <w:p>
      <w:r>
        <w:rPr>
          <w:sz w:val="22"/>
          <w:szCs w:val="22"/>
        </w:rPr>
        <w:t xml:space="preserve"/>
      </w:r>
    </w:p>
    <w:p>
      <w:pPr>
        <w:spacing w:after="120" w:before="80" w:line="276"/>
        <w:jc w:val="both"/>
      </w:pPr>
      <w:r>
        <w:rPr>
          <w:rFonts w:ascii="Arial" w:cs="Arial" w:eastAsia="Arial" w:hAnsi="Arial"/>
          <w:color w:val="2C2C2C"/>
          <w:sz w:val="22"/>
          <w:szCs w:val="22"/>
        </w:rPr>
        <w:t xml:space="preserve">En la segunda fase, un comité de validadores —también seleccionado aleatoriamente mediante VRF— analiza el bloque propuesto y vota su aprobación basándose en el protocolo de acuerdo Bizantino. Si el bloque supera el umbral de aprobación (más de 2/3 del stake del comité), se certifica y se añade a la cadena. En la tercera y última fase, el bloque certificado se disemina por la red y todas las transacciones en él contenidas se consideran definitivamente confirmadas. Este proceso completo se ejecuta en menos de cinco segundos.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12"/>
              <w:bottom w:val="single" w:color="CCCCCC" w:sz="1"/>
              <w:right w:val="single" w:color="CCCCCC" w:sz="1"/>
            </w:tcBorders>
            <w:shd w:fill="EBF5F5" w:val="clear"/>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Propiedad anti-bifurcación (no-fork)</w:t>
            </w:r>
          </w:p>
          <w:p>
            <w:pPr>
              <w:spacing w:after="0" w:before="0" w:line="276"/>
              <w:jc w:val="both"/>
            </w:pPr>
            <w:r>
              <w:rPr>
                <w:rFonts w:ascii="Arial" w:cs="Arial" w:eastAsia="Arial" w:hAnsi="Arial"/>
                <w:color w:val="2C2C2C"/>
                <w:sz w:val="22"/>
                <w:szCs w:val="22"/>
              </w:rPr>
              <w:t xml:space="preserve">Una consecuencia directa del mecanismo PPoS es que Algorand no puede sufrir bifurcaciones (forks) de la cadena. En cualquier momento dado, solo puede existir un bloque válido certificado por el comité. Esto elimina el riesgo de reorganizaciones de la cadena que afectan a Bitcoin y Ethereum, y garantiza que una transacción confirmada es irreversible desde el primer momento.</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2.2 Estructura en dos capas</w:t>
      </w:r>
    </w:p>
    <w:p>
      <w:pPr>
        <w:spacing w:after="120" w:before="80" w:line="276"/>
        <w:jc w:val="both"/>
      </w:pPr>
      <w:r>
        <w:rPr>
          <w:rFonts w:ascii="Arial" w:cs="Arial" w:eastAsia="Arial" w:hAnsi="Arial"/>
          <w:color w:val="2C2C2C"/>
          <w:sz w:val="22"/>
          <w:szCs w:val="22"/>
        </w:rPr>
        <w:t xml:space="preserve">Algorand implementa una arquitectura de dos capas que le permite mantener la seguridad en la base mientras escala la complejidad en capas superiores. La Capa 1 (Layer 1) aloja la lógica fundamental: contratos inteligentes estándar, creación y transferencia de tokens (mediante el Algorand Standard Asset Protocol, ASA), y operaciones con NFTs. Esta capa está optimizada para la velocidad y la seguridad, y es donde residen la mayor parte de las transacciones cotidianas.</w:t>
      </w:r>
    </w:p>
    <w:p>
      <w:r>
        <w:rPr>
          <w:sz w:val="22"/>
          <w:szCs w:val="22"/>
        </w:rPr>
        <w:t xml:space="preserve"/>
      </w:r>
    </w:p>
    <w:p>
      <w:pPr>
        <w:spacing w:after="120" w:before="80" w:line="276"/>
        <w:jc w:val="both"/>
      </w:pPr>
      <w:r>
        <w:rPr>
          <w:rFonts w:ascii="Arial" w:cs="Arial" w:eastAsia="Arial" w:hAnsi="Arial"/>
          <w:color w:val="2C2C2C"/>
          <w:sz w:val="22"/>
          <w:szCs w:val="22"/>
        </w:rPr>
        <w:t xml:space="preserve">Para contratos más complejos que requieren mayor capacidad de cómputo, Algorand utiliza su Capa 2 (Layer 2), donde un comité de nodos ya activos en la red —seleccionados aleatoriamente— ejecuta la lógica pesada fuera de la cadena principal. Periódicamente, snapshots del estado de la Capa 2 se reconcilian con la Capa 1, garantizando la coherencia del sistema sin comprometer la seguridad. A diferencia de otras blockchains que implementan la Capa 2 como blockchains independientes (con sus propios riesgos de seguridad), la solución de Algorand es nativa y matemáticamente integrada.</w:t>
      </w:r>
    </w:p>
    <w:p>
      <w:r>
        <w:rPr>
          <w:sz w:val="22"/>
          <w:szCs w:val="22"/>
        </w:rPr>
        <w:t xml:space="preserve"/>
      </w:r>
    </w:p>
    <w:p>
      <w:pPr>
        <w:pStyle w:val="Heading2"/>
        <w:spacing w:after="120" w:before="300"/>
      </w:pPr>
      <w:r>
        <w:rPr>
          <w:rFonts w:ascii="Arial" w:cs="Arial" w:eastAsia="Arial" w:hAnsi="Arial"/>
          <w:b/>
          <w:bCs/>
          <w:color w:val="0D7377"/>
          <w:sz w:val="26"/>
          <w:szCs w:val="26"/>
        </w:rPr>
        <w:t xml:space="preserve">2.3 Smart Contracts (ASC1) y el AVM</w:t>
      </w:r>
    </w:p>
    <w:p>
      <w:pPr>
        <w:spacing w:after="120" w:before="80" w:line="276"/>
        <w:jc w:val="both"/>
      </w:pPr>
      <w:r>
        <w:rPr>
          <w:rFonts w:ascii="Arial" w:cs="Arial" w:eastAsia="Arial" w:hAnsi="Arial"/>
          <w:color w:val="2C2C2C"/>
          <w:sz w:val="22"/>
          <w:szCs w:val="22"/>
        </w:rPr>
        <w:t xml:space="preserve">Los contratos inteligentes en Algorand se denominan ASC1 (Algorand Smart Contracts 1) y se ejecutan sobre la Algorand Virtual Machine (AVM). Se dividen en dos categorías fundamentales. Los «smart contracts» propiamente dichos (stateful o con estado) son programas desplegados en la blockchain que pueden almacenar datos —globales para el contrato y locales para cada usuario— y ejecutar lógica compleja. Las «smart signatures» (stateless o sin estado) son programas más simples que se adjuntan a transacciones individuales para autorizarlas condicionalmente.</w:t>
      </w:r>
    </w:p>
    <w:p>
      <w:r>
        <w:rPr>
          <w:sz w:val="22"/>
          <w:szCs w:val="22"/>
        </w:rPr>
        <w:t xml:space="preserve"/>
      </w:r>
    </w:p>
    <w:p>
      <w:pPr>
        <w:spacing w:after="120" w:before="80" w:line="276"/>
        <w:jc w:val="both"/>
      </w:pPr>
      <w:r>
        <w:rPr>
          <w:rFonts w:ascii="Arial" w:cs="Arial" w:eastAsia="Arial" w:hAnsi="Arial"/>
          <w:color w:val="2C2C2C"/>
          <w:sz w:val="22"/>
          <w:szCs w:val="22"/>
        </w:rPr>
        <w:t xml:space="preserve">Estos contratos se escriben principalmente en Python mediante la librería PyTeal, o directamente en TEAL (Transaction Execution Approval Language), un lenguaje tipo ensamblador Turing-completo procesado por el AVM. Cada contrato desplegado recibe un ApplicationID único e inamovible y puede actuar como cuenta escrow, almacenando fondos que solo se liberan cuando se cumplen las condiciones programadas. El ciclo de vida de un contrato incluye las fases de creación, opt-in de usuarios, invocación (NoOp), actualización y eliminación, cada una gestionada mediante tipos de transacción específicos (ApplicationCall transactions).</w:t>
      </w:r>
    </w:p>
    <w:p>
      <w:r>
        <w:rPr>
          <w:sz w:val="22"/>
          <w:szCs w:val="22"/>
        </w:rPr>
        <w:t xml:space="preserve"/>
      </w:r>
    </w:p>
    <w:p>
      <w:pPr>
        <w:pStyle w:val="Heading2"/>
        <w:spacing w:after="120" w:before="300"/>
      </w:pPr>
      <w:r>
        <w:rPr>
          <w:rFonts w:ascii="Arial" w:cs="Arial" w:eastAsia="Arial" w:hAnsi="Arial"/>
          <w:b/>
          <w:bCs/>
          <w:color w:val="0D7377"/>
          <w:sz w:val="26"/>
          <w:szCs w:val="26"/>
        </w:rPr>
        <w:t xml:space="preserve">2.4 Tokenomics y sostenibilidad</w:t>
      </w:r>
    </w:p>
    <w:p>
      <w:pPr>
        <w:spacing w:after="120" w:before="80" w:line="276"/>
        <w:jc w:val="both"/>
      </w:pPr>
      <w:r>
        <w:rPr>
          <w:rFonts w:ascii="Arial" w:cs="Arial" w:eastAsia="Arial" w:hAnsi="Arial"/>
          <w:color w:val="2C2C2C"/>
          <w:sz w:val="22"/>
          <w:szCs w:val="22"/>
        </w:rPr>
        <w:t xml:space="preserve">El suministro total de ALGO está fijado en 10.000 millones de unidades, todas ellas pre-minadas en el bloque génesis y distribuidas progresivamente. Esta política de suministro limitado actúa como mecanismo antiinflacionario. Cualquier titular de al menos 1 ALGO puede participar en el staking y recibir recompensas proporcionales a su posición, sin necesidad de bloquear fondos durante períodos fijos —aunque la gobernanza activa requiere un compromiso de 90 días por período de votación—. Las comisiones de transacción son extremadamente bajas (~0.001 ALGO), lo que hace la red accesible tanto para micropagos como para transacciones institucionales de gran volumen. Algorand es además carbon negative: las bajas emisiones derivadas del PPoS se complementan con donaciones activas de Algorand Inc. a ClimateTrade, empresa líder en compensación de carbono.</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3. DIFERENCIAS CON BITCOIN Y ETHEREUM</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3.1 Tabla comparativa integral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Bitcoin</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Ethereum</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Algorand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Año de creación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2009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2015</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2017 (mainnet 2019)</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Mecanismo de consenso</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Proof of Work (PoW)</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Proof of Stake (PoS) desde 2022</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Pure Proof of Stake (PPoS)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Velocidad (TPS)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~7 transacciones/seg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~15-30 transacciones/seg</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~1.000-2.000 transacciones/seg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Finalidad de tx</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~60 minutos (6 bloques)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~12-15 minutos</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&lt; 5 segundos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Smart Contracts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No (limitado con Script)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Sí (EVM/Solidity)</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Sí (TEAL/PyTeal/AVM)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Consumo energético</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Muy alto (minería)</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Bajo (tras The Merge)</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Muy bajo (PPoS)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Huella de carbono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Negativa (alta)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Neutral/baja</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Carbon negative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Comisiones (fees)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Variables, altas en picos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Variables, pueden ser muy altas</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Muy bajas (~0.001 ALGO)</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Suministro máximo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21 millones BTC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Sin límite definido</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10.000 millones ALGO</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Staking mínimo</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N/A</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32 ETH (para validar)</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1 ALGO</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Gobernanza on-chain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No directamente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Parcial (EIPs)</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Sí, con periodos de 90 días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CBDCs adoptadas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No</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both"/>
            </w:pPr>
            <w:r>
              <w:rPr>
                <w:rFonts w:ascii="Arial" w:cs="Arial" w:eastAsia="Arial" w:hAnsi="Arial"/>
                <w:color w:val="2C2C2C"/>
                <w:sz w:val="19"/>
                <w:szCs w:val="19"/>
              </w:rPr>
              <w:t xml:space="preserve">Exploraciones</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Marshall Islands, +16 proyectos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9"/>
                <w:szCs w:val="19"/>
              </w:rPr>
              <w:t xml:space="preserve">Bifurcaciones (forks)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Posibles (Bitcoin Cash,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2C2C2C"/>
                <w:sz w:val="19"/>
                <w:szCs w:val="19"/>
              </w:rPr>
              <w:t xml:space="preserve">Posibles</w:t>
            </w:r>
          </w:p>
        </w:tc>
        <w:tc>
          <w:tcPr>
            <w:tcW w:type="dxa" w:w="2340"/>
            <w:tcBorders>
              <w:top w:val="single" w:color="CCCCCC" w:sz="1"/>
              <w:left w:val="single" w:color="CCCCCC" w:sz="1"/>
              <w:bottom w:val="single" w:color="CCCCCC" w:sz="1"/>
              <w:right w:val="single" w:color="CCCCCC" w:sz="1"/>
            </w:tcBorders>
            <w:shd w:fill="EBF5F5" w:val="clear"/>
            <w:tcMar>
              <w:top w:type="dxa" w:w="80"/>
              <w:left w:type="dxa" w:w="120"/>
              <w:bottom w:type="dxa" w:w="80"/>
              <w:right w:type="dxa" w:w="120"/>
            </w:tcMar>
          </w:tcPr>
          <w:p>
            <w:pPr>
              <w:jc w:val="both"/>
            </w:pPr>
            <w:r>
              <w:rPr>
                <w:rFonts w:ascii="Arial" w:cs="Arial" w:eastAsia="Arial" w:hAnsi="Arial"/>
                <w:color w:val="2C2C2C"/>
                <w:sz w:val="19"/>
                <w:szCs w:val="19"/>
              </w:rPr>
              <w:t xml:space="preserve">Imposibles por diseño</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3.2 Análisis de las diferencias fundamentales</w:t>
      </w:r>
    </w:p>
    <w:p>
      <w:pPr>
        <w:pStyle w:val="Heading3"/>
        <w:spacing w:after="100" w:before="200"/>
      </w:pPr>
      <w:r>
        <w:rPr>
          <w:rFonts w:ascii="Arial" w:cs="Arial" w:eastAsia="Arial" w:hAnsi="Arial"/>
          <w:b/>
          <w:bCs/>
          <w:color w:val="2E75B6"/>
          <w:sz w:val="22"/>
          <w:szCs w:val="22"/>
        </w:rPr>
        <w:t xml:space="preserve">Mecanismo de consenso</w:t>
      </w:r>
    </w:p>
    <w:p>
      <w:pPr>
        <w:spacing w:after="120" w:before="80" w:line="276"/>
        <w:jc w:val="both"/>
      </w:pPr>
      <w:r>
        <w:rPr>
          <w:rFonts w:ascii="Arial" w:cs="Arial" w:eastAsia="Arial" w:hAnsi="Arial"/>
          <w:color w:val="2C2C2C"/>
          <w:sz w:val="22"/>
          <w:szCs w:val="22"/>
        </w:rPr>
        <w:t xml:space="preserve">Bitcoin opera mediante Proof of Work, un mecanismo que requiere que los mineros compitan resolviendo problemas matemáticos computacionalmente costosos. Este sistema garantiza seguridad a través del gasto energético, pero limita radicalmente la velocidad (~7 TPS) y tiene un impacto ambiental masivo. Ethereum migró a Proof of Stake en 2022 («The Merge»), reduciendo su consumo energético en un 99,9%, pero mantiene un modelo donde los validadores deben inmovilizar 32 ETH (~70.000 € aproximadamente en 2026) para participar, lo que introduce barreras de entrada significativas. El PPoS de Algorand elimina ambas limitaciones: no hay minería, no hay barrera de stake mínimo relevante (1 ALGO ≈ céntimos), y la selección aleatoria mediante VRF garantiza que ningún actor centralice el poder de validación.</w:t>
      </w:r>
    </w:p>
    <w:p>
      <w:r>
        <w:rPr>
          <w:sz w:val="22"/>
          <w:szCs w:val="22"/>
        </w:rPr>
        <w:t xml:space="preserve"/>
      </w:r>
    </w:p>
    <w:p>
      <w:pPr>
        <w:pStyle w:val="Heading3"/>
        <w:spacing w:after="100" w:before="200"/>
      </w:pPr>
      <w:r>
        <w:rPr>
          <w:rFonts w:ascii="Arial" w:cs="Arial" w:eastAsia="Arial" w:hAnsi="Arial"/>
          <w:b/>
          <w:bCs/>
          <w:color w:val="2E75B6"/>
          <w:sz w:val="22"/>
          <w:szCs w:val="22"/>
        </w:rPr>
        <w:t xml:space="preserve">Velocidad y finalidad</w:t>
      </w:r>
    </w:p>
    <w:p>
      <w:pPr>
        <w:spacing w:after="120" w:before="80" w:line="276"/>
        <w:jc w:val="both"/>
      </w:pPr>
      <w:r>
        <w:rPr>
          <w:rFonts w:ascii="Arial" w:cs="Arial" w:eastAsia="Arial" w:hAnsi="Arial"/>
          <w:color w:val="2C2C2C"/>
          <w:sz w:val="22"/>
          <w:szCs w:val="22"/>
        </w:rPr>
        <w:t xml:space="preserve">La diferencia en velocidad y finalidad de transacciones es, quizás, la más relevante para casos de uso reales. Bitcoin requiere en torno a 60 minutos (6 confirmaciones de bloque) para considerar una transacción irreversible; Ethereum entre 12 y 15 minutos. Algorand confirma transacciones con finalidad absoluta en menos de 5 segundos. Esto no es simplemente «más rápido»: es un cambio cualitativo que habilita categorías enteras de aplicaciones —pagos en punto de venta, liquidación de activos financieros en tiempo real, contratos con ejecución inmediata— que son técnicamente inviables sobre Bitcoin o Ethereum base.</w:t>
      </w:r>
    </w:p>
    <w:p>
      <w:r>
        <w:rPr>
          <w:sz w:val="22"/>
          <w:szCs w:val="22"/>
        </w:rPr>
        <w:t xml:space="preserve"/>
      </w:r>
    </w:p>
    <w:p>
      <w:pPr>
        <w:pStyle w:val="Heading3"/>
        <w:spacing w:after="100" w:before="200"/>
      </w:pPr>
      <w:r>
        <w:rPr>
          <w:rFonts w:ascii="Arial" w:cs="Arial" w:eastAsia="Arial" w:hAnsi="Arial"/>
          <w:b/>
          <w:bCs/>
          <w:color w:val="2E75B6"/>
          <w:sz w:val="22"/>
          <w:szCs w:val="22"/>
        </w:rPr>
        <w:t xml:space="preserve">Contratos inteligentes y programabilidad</w:t>
      </w:r>
    </w:p>
    <w:p>
      <w:pPr>
        <w:spacing w:after="120" w:before="80" w:line="276"/>
        <w:jc w:val="both"/>
      </w:pPr>
      <w:r>
        <w:rPr>
          <w:rFonts w:ascii="Arial" w:cs="Arial" w:eastAsia="Arial" w:hAnsi="Arial"/>
          <w:color w:val="2C2C2C"/>
          <w:sz w:val="22"/>
          <w:szCs w:val="22"/>
        </w:rPr>
        <w:t xml:space="preserve">Bitcoin fue diseñado como sistema de pagos, con un lenguaje de scripting muy limitado que no permite construir aplicaciones complejas. Ethereum introdujo los contratos inteligentes como ciudadanos de primera clase, con un lenguaje (Solidity) y una máquina virtual (EVM) que permitieron el florecimiento del ecosistema DeFi, pero a costa de fees variables que en períodos de congestión pueden superar los 100 USD por transacción, y de una complejidad que ha dado lugar a vulnerabilidades de seguridad con pérdidas de miles de millones de dólares. Algorand ofrece contratos inteligentes con fees estables y extremadamente bajas, un entorno de ejecución más acotado (lo que reduce la superficie de ataque) y la posibilidad de crear tokens (ASA) sin necesidad de escribir ningún smart contract, simplemente rellenando un formulario.</w:t>
      </w:r>
    </w:p>
    <w:p>
      <w:r>
        <w:rPr>
          <w:sz w:val="22"/>
          <w:szCs w:val="22"/>
        </w:rPr>
        <w:t xml:space="preserve"/>
      </w:r>
    </w:p>
    <w:p>
      <w:pPr>
        <w:pStyle w:val="Heading3"/>
        <w:spacing w:after="100" w:before="200"/>
      </w:pPr>
      <w:r>
        <w:rPr>
          <w:rFonts w:ascii="Arial" w:cs="Arial" w:eastAsia="Arial" w:hAnsi="Arial"/>
          <w:b/>
          <w:bCs/>
          <w:color w:val="2E75B6"/>
          <w:sz w:val="22"/>
          <w:szCs w:val="22"/>
        </w:rPr>
        <w:t xml:space="preserve">Adopción institucional y CBDCs</w:t>
      </w:r>
    </w:p>
    <w:p>
      <w:pPr>
        <w:spacing w:after="120" w:before="80" w:line="276"/>
        <w:jc w:val="both"/>
      </w:pPr>
      <w:r>
        <w:rPr>
          <w:rFonts w:ascii="Arial" w:cs="Arial" w:eastAsia="Arial" w:hAnsi="Arial"/>
          <w:color w:val="2C2C2C"/>
          <w:sz w:val="22"/>
          <w:szCs w:val="22"/>
        </w:rPr>
        <w:t xml:space="preserve">Un vector de diferenciación crítico es la adopción institucional. Las Islas Marshall adoptaron Algorand como infraestructura de su moneda digital nacional (SOV), siendo el primer país del mundo en dar este paso. Más de 16 proyectos de CBDC adicionales se encontraban en desarrollo sobre Algorand. Esta confianza institucional se explica por la capacidad de Algorand para implementar controles de cumplimiento normativo directamente en el protocolo, algo que resulta mucho más complejo en Bitcoin o Ethereum. Para el sistema financiero tradicional, las garantías de finalidad inmediata, la ausencia de forks y la trazabilidad completa de Algorand representan una arquitectura incomparablemente más compatible con los requisitos regulatorios.</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4. ESCENARIO DE USO: TOKENIZACIÓN DE ACTIVOS AGRÍCOLAS</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4.1 Contexto y justificación</w:t>
      </w:r>
    </w:p>
    <w:p>
      <w:pPr>
        <w:spacing w:after="120" w:before="80" w:line="276"/>
        <w:jc w:val="both"/>
      </w:pPr>
      <w:r>
        <w:rPr>
          <w:rFonts w:ascii="Arial" w:cs="Arial" w:eastAsia="Arial" w:hAnsi="Arial"/>
          <w:color w:val="2C2C2C"/>
          <w:sz w:val="22"/>
          <w:szCs w:val="22"/>
        </w:rPr>
        <w:t xml:space="preserve">Para ilustrar el potencial de Algorand en un caso de uso concreto, se propone el siguiente escenario: la tokenización de activos agrícolas y la distribución automatizada de rendimientos mediante smart contracts. Este escenario fue elegido por tres razones: primero, refleja una necesidad real del sector primario, donde los pequeños y medianos productores tienen históricamente un acceso limitado a financiación; segundo, involucra los mecanismos técnicos más representativos de Algorand (ASA, smart contracts stateful, Atomic Transfers, gobernanza on-chain); y tercero, tiene una aplicabilidad directa en el contexto agrícola mediterráneo, especialmente relevante para regiones como Andalucía.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12"/>
              <w:bottom w:val="single" w:color="CCCCCC" w:sz="1"/>
              <w:right w:val="single" w:color="CCCCCC" w:sz="1"/>
            </w:tcBorders>
            <w:shd w:fill="EBF5F5" w:val="clear"/>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Problema que resuelve</w:t>
            </w:r>
          </w:p>
          <w:p>
            <w:pPr>
              <w:spacing w:after="0" w:before="0" w:line="276"/>
              <w:jc w:val="both"/>
            </w:pPr>
            <w:r>
              <w:rPr>
                <w:rFonts w:ascii="Arial" w:cs="Arial" w:eastAsia="Arial" w:hAnsi="Arial"/>
                <w:color w:val="2C2C2C"/>
                <w:sz w:val="22"/>
                <w:szCs w:val="22"/>
              </w:rPr>
              <w:t xml:space="preserve">Una cooperativa agrícola con activos reales y rentabilidad demostrada no puede acceder fácilmente a inversores externos sin pasar por fondos de capital riesgo, con sus elevados umbrales mínimos de inversión y su concentración geográfica. La tokenización permite fraccionar el activo y distribuirlo entre cientos de pequeños inversores globales, con transparencia total y sin intermediarios financieros.</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4.2 Desarrollo técnico del escenario paso a paso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Tokenización del activo agrícola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La cooperativa 'AgroSur S.L.' posee 500 hectáreas de olivos en Jaén. Mediante el Algorand Standard Asset Protocol (ASA), su gestor crea un token llamado AGSUR sin necesidad de escribir código: simplemente rellena un formulario en la plataforma. Se emiten 500.000 tokens AGSUR (1 token = participación en 1 m² de producción). Todo el proceso queda registrado en la blockchain de forma inmutable en menos de 5 segundos, con un coste de ~0.001 ALGO por transacción.</w:t>
            </w:r>
          </w:p>
        </w:tc>
      </w:tr>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Despliegue del Smart Contract de gobernanza</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4F6F9"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Se redacta y despliega un contrato inteligente en PyTeal que codifica las reglas del negocio: (a) los inversores reciben dividendos proporcionales a su participación al final de cada campaña; (b) las decisiones de gestión que superen el 15% del presupuesto requieren votación de los token holders; (c) el contrato actúa como cuenta escrow, reteniendo fondos hasta que se cumplan las condiciones pactadas. El contrato recibe un ApplicationID único e inamovible. El almacenamiento global (reglas del fondo) y local (posición de cada inversor) se define en este momento y no puede alterarse después.</w:t>
            </w:r>
          </w:p>
        </w:tc>
      </w:tr>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Captación de inversores y Opt-In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La cooperativa publica la oferta en una plataforma DeFi construida sobre Algorand. Un inversor de Sevilla, una familia de Madrid y un fondo de inversión de Berlín adquieren tokens AGSUR desde sus wallets. Cada uno realiza una transacción OptIn al smart contract, habilitando su almacenamiento local. La plataforma registra automáticamente su participación. El proceso no requiere intermediarios financieros, KYC centralizado ni horarios bancarios: las transacciones se confirman en &lt; 5 segundos en cualquier momento del día.</w:t>
            </w:r>
          </w:p>
        </w:tc>
      </w:tr>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Operación durante la campaña</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4F6F9"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Durante la campaña agrícola, el smart contract monitoriza el estado del fondo. Los gastos de la cooperativa (laboreo, agua, recolección) se aprueban mediante llamadas NoOp al contrato. Si un gasto supera el umbral acordado, el contrato bloquea la transacción y lanza automáticamente una votación entre los token holders. Los titulares de AGSUR votan desde sus wallets, y el resultado queda registrado on-chain, formando un registro de gobernanza auditadle por cualquier parte en cualquier momento.</w:t>
            </w:r>
          </w:p>
        </w:tc>
      </w:tr>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Distribución automática de dividendos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Al finalizar la campaña, la cooperativa deposita los ingresos de la venta de aceite en la dirección del contrato (que funciona como escrow). El Approval Program del smart contract calcula automáticamente el dividendo proporcional de cada inversor a partir de su almacenamiento local, y emite las transacciones de pago de forma atómica. Si alguna transacción falla, el grupo completo se revierte (Atomic Transfers), garantizando que nadie cobra de más ni de menos. Todo concluye en segundos, sin intervención humana ni riesgo de error de cálculo.</w:t>
            </w:r>
          </w:p>
        </w:tc>
      </w:tr>
      <w:tr>
        <w:tc>
          <w:tcPr>
            <w:tcW w:type="dxa" w:w="72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64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20"/>
            </w:tcMar>
          </w:tcPr>
          <w:p>
            <w:r>
              <w:rPr>
                <w:rFonts w:ascii="Arial" w:cs="Arial" w:eastAsia="Arial" w:hAnsi="Arial"/>
                <w:b/>
                <w:bCs/>
                <w:color w:val="FFFFFF"/>
                <w:sz w:val="22"/>
                <w:szCs w:val="22"/>
              </w:rPr>
              <w:t xml:space="preserve">Auditoría y transparencia total</w:t>
            </w:r>
          </w:p>
        </w:tc>
      </w:tr>
      <w:tr>
        <w:tc>
          <w:tcPr>
            <w:tcW w:type="dxa" w:w="720"/>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t xml:space="preserve"/>
            </w:r>
          </w:p>
        </w:tc>
        <w:tc>
          <w:tcPr>
            <w:tcW w:type="dxa" w:w="8640"/>
            <w:tcBorders>
              <w:top w:val="single" w:color="CCCCCC" w:sz="1"/>
              <w:left w:val="single" w:color="CCCCCC" w:sz="1"/>
              <w:bottom w:val="single" w:color="CCCCCC" w:sz="1"/>
              <w:right w:val="single" w:color="CCCCCC" w:sz="1"/>
            </w:tcBorders>
            <w:shd w:fill="F4F6F9" w:val="clear"/>
            <w:tcMar>
              <w:top w:type="dxa" w:w="80"/>
              <w:left w:type="dxa" w:w="160"/>
              <w:bottom w:type="dxa" w:w="100"/>
              <w:right w:type="dxa" w:w="120"/>
            </w:tcMar>
          </w:tcPr>
          <w:p>
            <w:pPr>
              <w:spacing w:line="276"/>
              <w:jc w:val="both"/>
            </w:pPr>
            <w:r>
              <w:rPr>
                <w:rFonts w:ascii="Arial" w:cs="Arial" w:eastAsia="Arial" w:hAnsi="Arial"/>
                <w:color w:val="2C2C2C"/>
                <w:sz w:val="21"/>
                <w:szCs w:val="21"/>
              </w:rPr>
              <w:t xml:space="preserve">Cualquier regulador, inversor o tercero puede consultar el explorador de bloques de Algorand y verificar cada transacción, cada voto y cada pago desde el primer día. Al ser el código open source y estar los datos en la blockchain pública, no existe posibilidad de manipulación. La cooperativa puede además obtener un certificado de sostenibilidad basado en sus registros on-chain, dado que Algorand es carbon negative.</w:t>
            </w:r>
          </w:p>
        </w:tc>
      </w:tr>
    </w:tbl>
    <w:p>
      <w:r>
        <w:rPr>
          <w:sz w:val="22"/>
          <w:szCs w:val="22"/>
        </w:rPr>
        <w:t xml:space="preserve"/>
      </w:r>
    </w:p>
    <w:p>
      <w:pPr>
        <w:pStyle w:val="Heading2"/>
        <w:spacing w:after="120" w:before="300"/>
      </w:pPr>
      <w:r>
        <w:rPr>
          <w:rFonts w:ascii="Arial" w:cs="Arial" w:eastAsia="Arial" w:hAnsi="Arial"/>
          <w:b/>
          <w:bCs/>
          <w:color w:val="0D7377"/>
          <w:sz w:val="26"/>
          <w:szCs w:val="26"/>
        </w:rPr>
        <w:t xml:space="preserve">4.3 Ventajas específicas de usar Algorand para este caso</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Finalidad inmediata: cada transacción (compra de tokens, pago de dividendos, registro de voto) es definitiva en &lt; 5 segundos. No existe riesgo de reversión posterior.</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Coste negligible: una campaña completa con centenares de transacciones tiene un coste en fees de fracciones de ALGO, en contraste con los cientos de dólares que podría costar en Ethereum en períodos de congestión.</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No se requiere intermediario financiero: banco custodio, fondo de inversión, notario o cámara de compensación quedan reemplazados o enormemente simplificados por el smart contract.</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Auditoría automática y permanente: la blockchain proporciona un registro inmutable de todas las operaciones, disponible para reguladores, inversores y auditores sin necesidad de solicitar documentación.</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Acceso global sin fricción: un inversor en cualquier país puede participar con cualquier cantidad (no existe mínimo impuesto por el sistema, solo el que fije la cooperativa), sin apertura de cuentas ni trámites bancarios internacionales.</w:t>
      </w:r>
    </w:p>
    <w:p>
      <w:pPr>
        <w:pStyle w:val="ListParagraph"/>
        <w:numPr>
          <w:ilvl w:val="0"/>
          <w:numId w:val="2"/>
        </w:numPr>
        <w:spacing w:after="60" w:before="60" w:line="276"/>
      </w:pPr>
      <w:r>
        <w:rPr>
          <w:rFonts w:ascii="Arial" w:cs="Arial" w:eastAsia="Arial" w:hAnsi="Arial"/>
          <w:b/>
          <w:bCs/>
          <w:color w:val="1A3A5C"/>
          <w:sz w:val="22"/>
          <w:szCs w:val="22"/>
        </w:rPr>
        <w:t xml:space="preserve">▸ </w:t>
      </w:r>
      <w:r>
        <w:rPr>
          <w:rFonts w:ascii="Arial" w:cs="Arial" w:eastAsia="Arial" w:hAnsi="Arial"/>
          <w:color w:val="2C2C2C"/>
          <w:sz w:val="22"/>
          <w:szCs w:val="22"/>
        </w:rPr>
        <w:t xml:space="preserve">Gobernanza democrática y transparente: las decisiones de gestión relevantes se vota on-chain, con resultados verificables e irreversibles, garantizando que la cooperativa rinde cuentas efectivamente a sus inversores.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5. CONCLUSIONES</w:t>
            </w:r>
          </w:p>
        </w:tc>
      </w:tr>
    </w:tbl>
    <w:p>
      <w:r>
        <w:rPr>
          <w:sz w:val="22"/>
          <w:szCs w:val="22"/>
        </w:rPr>
        <w:t xml:space="preserve"/>
      </w:r>
    </w:p>
    <w:p>
      <w:pPr>
        <w:spacing w:after="120" w:before="80" w:line="276"/>
        <w:jc w:val="both"/>
      </w:pPr>
      <w:r>
        <w:rPr>
          <w:rFonts w:ascii="Arial" w:cs="Arial" w:eastAsia="Arial" w:hAnsi="Arial"/>
          <w:color w:val="2C2C2C"/>
          <w:sz w:val="22"/>
          <w:szCs w:val="22"/>
        </w:rPr>
        <w:t xml:space="preserve">Algorand no es simplemente «otra blockchain». Representa una evolución técnica fundamentada en ciencia criptográfica de primer nivel, diseñada para resolver los problemas estructurales que han limitado la utilidad práctica de las generaciones anteriores de blockchains. Su mecanismo Pure Proof of Stake ofrece una combinación de velocidad, seguridad y descentralización que, hasta la fecha, ninguna otra red de propósito general ha conseguido igualar con las mismas garantías formales.</w:t>
      </w:r>
    </w:p>
    <w:p>
      <w:r>
        <w:rPr>
          <w:sz w:val="22"/>
          <w:szCs w:val="22"/>
        </w:rPr>
        <w:t xml:space="preserve"/>
      </w:r>
    </w:p>
    <w:p>
      <w:pPr>
        <w:spacing w:after="120" w:before="80" w:line="276"/>
        <w:jc w:val="both"/>
      </w:pPr>
      <w:r>
        <w:rPr>
          <w:rFonts w:ascii="Arial" w:cs="Arial" w:eastAsia="Arial" w:hAnsi="Arial"/>
          <w:color w:val="2C2C2C"/>
          <w:sz w:val="22"/>
          <w:szCs w:val="22"/>
        </w:rPr>
        <w:t xml:space="preserve">Frente a Bitcoin, Algorand incorpora programabilidad completa, una huella ecológica mínima y una capacidad de transacción órdenes de magnitud superior. Frente a Ethereum, ofrece fees predecibles y muy bajas, una experiencia de desarrollo más accesible mediante PyTeal, y unas garantías de finalidad de transacción incomparablemente más rápidas. La adopción institucional —especialmente en el ámbito de las CBDCs— demuestra que su arquitectura no es solo técnicamente superior, sino también regulatoriamente compatible con las exigencias del sistema financiero global.</w:t>
      </w:r>
    </w:p>
    <w:p>
      <w:r>
        <w:rPr>
          <w:sz w:val="22"/>
          <w:szCs w:val="22"/>
        </w:rPr>
        <w:t xml:space="preserve"/>
      </w:r>
    </w:p>
    <w:p>
      <w:pPr>
        <w:spacing w:after="120" w:before="80" w:line="276"/>
        <w:jc w:val="both"/>
      </w:pPr>
      <w:r>
        <w:rPr>
          <w:rFonts w:ascii="Arial" w:cs="Arial" w:eastAsia="Arial" w:hAnsi="Arial"/>
          <w:color w:val="2C2C2C"/>
          <w:sz w:val="22"/>
          <w:szCs w:val="22"/>
        </w:rPr>
        <w:t xml:space="preserve">El escenario de tokenización agrícola ilustra cómo Algorand puede transformar sectores económicos tradicionales, democratizando el acceso a la inversión, eliminando intermediarios y creando marcos de gobernanza transparentes y auditables. Este no es un caso hipotético: las herramientas técnicas descritas están disponibles hoy, son maduras y han sido probadas en producción por proyectos con millones de usuarios.</w:t>
      </w:r>
    </w:p>
    <w:p>
      <w:r>
        <w:rPr>
          <w:sz w:val="22"/>
          <w:szCs w:val="22"/>
        </w:rPr>
        <w:t xml:space="preserve"/>
      </w:r>
    </w:p>
    <w:p>
      <w:pPr>
        <w:spacing w:after="120" w:before="80" w:line="276"/>
        <w:jc w:val="both"/>
      </w:pPr>
      <w:r>
        <w:rPr>
          <w:rFonts w:ascii="Arial" w:cs="Arial" w:eastAsia="Arial" w:hAnsi="Arial"/>
          <w:color w:val="2C2C2C"/>
          <w:sz w:val="22"/>
          <w:szCs w:val="22"/>
        </w:rPr>
        <w:t xml:space="preserve">En síntesis, Algorand representa una infraestructura blockchain madura, científicamente fundamentada y orientada a la adopción real, que merece atención prioritaria tanto desde la perspectiva del desarrollador como del inversor o del decisor institucional que evalúe la incorporación de tecnología blockchain a procesos de negocio existentes.</w:t>
      </w:r>
    </w:p>
    <w:p>
      <w:r>
        <w:rPr>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5B6" w:sz="12"/>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A3A5C"/>
                <w:sz w:val="20"/>
                <w:szCs w:val="20"/>
              </w:rPr>
              <w:t xml:space="preserve">Fuentes consultadas</w:t>
            </w:r>
          </w:p>
          <w:p>
            <w:pPr>
              <w:spacing w:before="60"/>
            </w:pPr>
            <w:r>
              <w:rPr>
                <w:rFonts w:ascii="Arial" w:cs="Arial" w:eastAsia="Arial" w:hAnsi="Arial"/>
                <w:i/>
                <w:iCs/>
                <w:color w:val="2C2C2C"/>
                <w:sz w:val="18"/>
                <w:szCs w:val="18"/>
              </w:rPr>
              <w:t xml:space="preserve">Documentación oficial Algorand Developer Portal (developer.algorand.org) · Transcripciones educativas Whiteboard Crypto · Academy Bit2me · Binance Academy · Kraken Learn · Wikipedia Algorand · CoinMarketCap · Bitstamp Learn Center</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526"/>
      </w:tabs>
      <w:jc w:val="left"/>
    </w:pPr>
    <w:r>
      <w:rPr>
        <w:rFonts w:ascii="Arial" w:cs="Arial" w:eastAsia="Arial" w:hAnsi="Arial"/>
        <w:color w:val="888888"/>
        <w:sz w:val="17"/>
        <w:szCs w:val="17"/>
      </w:rPr>
      <w:t xml:space="preserve">Uso profesional y académico</w:t>
    </w:r>
    <w:r>
      <w:rPr>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526"/>
      </w:tabs>
    </w:pPr>
    <w:r>
      <w:rPr>
        <w:rFonts w:ascii="Arial" w:cs="Arial" w:eastAsia="Arial" w:hAnsi="Arial"/>
        <w:b/>
        <w:bCs/>
        <w:color w:val="1A3A5C"/>
        <w:sz w:val="18"/>
        <w:szCs w:val="18"/>
      </w:rPr>
      <w:t xml:space="preserve">MEMORIA TÉCNICA — ALGORAND (ALGO)</w:t>
    </w:r>
    <w:r>
      <w:rPr>
        <w:rFonts w:ascii="Arial" w:cs="Arial" w:eastAsia="Arial" w:hAnsi="Arial"/>
        <w:sz w:val="18"/>
        <w:szCs w:val="18"/>
      </w:rPr>
      <w:t xml:space="preserve">	</w:t>
    </w:r>
    <w:r>
      <w:rPr>
        <w:rFonts w:ascii="Arial" w:cs="Arial" w:eastAsia="Arial" w:hAnsi="Arial"/>
        <w:color w:val="888888"/>
        <w:sz w:val="18"/>
        <w:szCs w:val="18"/>
      </w:rPr>
      <w:t xml:space="preserve">Análisis Experto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2026-05-04T12:51:29.653Z</dcterms:created>
  <dcterms:modified xsi:type="dcterms:W3CDTF">2026-05-04T12:51:29.655Z</dcterms:modified>
</cp:coreProperties>
</file>

<file path=docProps/custom.xml><?xml version="1.0" encoding="utf-8"?>
<Properties xmlns="http://schemas.openxmlformats.org/officeDocument/2006/custom-properties" xmlns:vt="http://schemas.openxmlformats.org/officeDocument/2006/docPropsVTypes"/>
</file>