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1234567</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604975416@qq.com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1234567</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980525110@qq.com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1</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2021-01-22</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2021-01-20</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233</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2021-01-30</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23</w:t>
      </w:r>
    </w:p>
    <w:p w14:paraId="27A36896" w14:textId="77777777" w:rsidR="005172CA" w:rsidRDefault="005172CA" w:rsidP="005A041A">
      <w:pPr>
        <w:pStyle w:val="a7"/>
        <w:shd w:val="clear" w:color="auto" w:fill="FFFFFF"/>
        <w:spacing w:before="0" w:beforeAutospacing="0" w:after="0" w:afterAutospacing="0"/>
        <w:jc w:val="both"/>
      </w:pPr>
    </w:p>
    <w:p w14:paraId="4BCD9E99" w14:textId="77777777" w:rsidR="00433DD9" w:rsidRDefault="00B478D2" w:rsidP="00433DD9">
      <w:pPr>
        <w:rPr>
          <w:rFonts w:ascii="Calibri" w:hAnsi="Calibri" w:cs="Calibri"/>
          <w:b/>
          <w:bCs/>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p>
    <w:p w14:paraId="7D133F01" w14:textId="77777777" w:rsidR="00433DD9" w:rsidRDefault="00890D01" w:rsidP="00433DD9">
      <w:pPr>
        <w:rPr>
          <w:rFonts w:ascii="Times New Roman" w:hAnsi="Times New Roman" w:cs="Times New Roman"/>
          <w:color w:val="333333"/>
        </w:rPr>
      </w:pPr>
      <w:r>
        <w:rPr>
          <w:rFonts w:ascii="Tahoma" w:hAnsi="Tahoma" w:cs="Tahoma" w:hint="eastAsia"/>
          <w:bCs/>
          <w:sz w:val="26"/>
          <w:szCs w:val="26"/>
        </w:rPr>
        <w:t>${Image}</w: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433DD9">
        <w:rPr>
          <w:rFonts w:ascii="Tahoma" w:eastAsia="宋体" w:hAnsi="Tahoma" w:cs="Tahoma" w:hint="eastAsia"/>
          <w:bCs/>
          <w:sz w:val="26"/>
          <w:szCs w:val="26"/>
        </w:rPr>
        <w:t xml:space="preserve">${Name} </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p>
    <w:p w14:paraId="77A9B821" w14:textId="2A4A3D02" w:rsidR="00890D01" w:rsidRPr="00433DD9" w:rsidRDefault="00890D01" w:rsidP="00433DD9">
      <w:pPr>
        <w:rPr>
          <w:rFonts w:ascii="Tahoma" w:eastAsia="宋体" w:hAnsi="Tahoma" w:cs="Tahoma"/>
          <w:bCs/>
          <w:sz w:val="26"/>
          <w:szCs w:val="26"/>
        </w:rPr>
      </w:pPr>
      <w:r w:rsidRPr="00890D01">
        <w:rPr>
          <w:rFonts w:ascii="Tahoma" w:hAnsi="Tahoma" w:cs="Tahoma" w:hint="eastAsia"/>
          <w:bCs/>
          <w:sz w:val="26"/>
          <w:szCs w:val="26"/>
        </w:rPr>
        <w:t xml:space="preserve"> </w:t>
      </w:r>
      <w:r>
        <w:rPr>
          <w:rFonts w:ascii="Tahoma" w:hAnsi="Tahoma" w:cs="Tahoma" w:hint="eastAsia"/>
          <w:bCs/>
          <w:sz w:val="26"/>
          <w:szCs w:val="26"/>
        </w:rPr>
        <w:t>${Image</w:t>
      </w:r>
      <w:r>
        <w:rPr>
          <w:rFonts w:ascii="Tahoma" w:hAnsi="Tahoma" w:cs="Tahoma"/>
          <w:bCs/>
          <w:sz w:val="26"/>
          <w:szCs w:val="26"/>
        </w:rPr>
        <w:t>2</w:t>
      </w:r>
      <w:r>
        <w:rPr>
          <w:rFonts w:ascii="Tahoma" w:hAnsi="Tahoma" w:cs="Tahoma" w:hint="eastAsia"/>
          <w:bCs/>
          <w:sz w:val="26"/>
          <w:szCs w:val="26"/>
        </w:rPr>
        <w:t>}</w:t>
      </w:r>
    </w:p>
    <w:p w14:paraId="0A28186C" w14:textId="77777777" w:rsidR="00433DD9" w:rsidRDefault="001B3A92" w:rsidP="00433DD9">
      <w:pPr>
        <w:rPr>
          <w:rFonts w:ascii="Tahoma" w:eastAsia="宋体" w:hAnsi="Tahoma" w:cs="Tahoma"/>
          <w:bCs/>
          <w:sz w:val="26"/>
          <w:szCs w:val="26"/>
        </w:rPr>
      </w:pPr>
      <w:r w:rsidRPr="001B3A92">
        <w:rPr>
          <w:rFonts w:ascii="Times New Roman" w:hAnsi="Times New Roman" w:cs="Times New Roman"/>
          <w:color w:val="333333"/>
        </w:rPr>
        <w:t>Date:</w:t>
      </w:r>
      <w:r w:rsidR="00CE7ACF" w:rsidRPr="00CE7ACF">
        <w:rPr>
          <w:rFonts w:ascii="Calibri" w:hAnsi="Calibri" w:cs="Calibri"/>
          <w:b/>
          <w:bCs/>
        </w:rPr>
        <w:t xml:space="preserve"> </w:t>
      </w:r>
      <w:bookmarkStart w:id="0" w:name="_Hlk86346804"/>
      <w:r w:rsidR="00433DD9">
        <w:rPr>
          <w:rFonts w:ascii="Tahoma" w:eastAsia="宋体" w:hAnsi="Tahoma" w:cs="Tahoma" w:hint="eastAsia"/>
          <w:bCs/>
          <w:sz w:val="26"/>
          <w:szCs w:val="26"/>
        </w:rPr>
        <w:t>${Name</w:t>
      </w:r>
      <w:r w:rsidR="00433DD9">
        <w:rPr>
          <w:rFonts w:ascii="Tahoma" w:eastAsia="宋体" w:hAnsi="Tahoma" w:cs="Tahoma"/>
          <w:bCs/>
          <w:sz w:val="26"/>
          <w:szCs w:val="26"/>
        </w:rPr>
        <w:t>1</w:t>
      </w:r>
      <w:r w:rsidR="00433DD9">
        <w:rPr>
          <w:rFonts w:ascii="Tahoma" w:eastAsia="宋体" w:hAnsi="Tahoma" w:cs="Tahoma" w:hint="eastAsia"/>
          <w:bCs/>
          <w:sz w:val="26"/>
          <w:szCs w:val="26"/>
        </w:rPr>
        <w:t xml:space="preserve">} </w:t>
      </w:r>
    </w:p>
    <w:bookmarkEnd w:id="0"/>
    <w:p w14:paraId="3AB76940" w14:textId="3F3DA81F" w:rsidR="002A11B8" w:rsidRPr="00267B61" w:rsidRDefault="002A11B8" w:rsidP="005A041A">
      <w:pPr>
        <w:pStyle w:val="a7"/>
        <w:shd w:val="clear" w:color="auto" w:fill="FFFFFF"/>
        <w:spacing w:before="0" w:beforeAutospacing="0" w:after="0" w:afterAutospacing="0"/>
        <w:jc w:val="both"/>
        <w:rPr>
          <w:rFonts w:ascii="Times New Roman" w:hAnsi="Times New Roman" w:cs="Times New Roman"/>
          <w:color w:val="333333"/>
        </w:rPr>
      </w:pP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2386" w14:textId="77777777" w:rsidR="00B478D2" w:rsidRDefault="00B478D2" w:rsidP="00F453C0">
      <w:r>
        <w:separator/>
      </w:r>
    </w:p>
  </w:endnote>
  <w:endnote w:type="continuationSeparator" w:id="0">
    <w:p w14:paraId="7D66601E" w14:textId="77777777" w:rsidR="00B478D2" w:rsidRDefault="00B478D2" w:rsidP="00F453C0">
      <w:r>
        <w:continuationSeparator/>
      </w:r>
    </w:p>
  </w:endnote>
  <w:endnote w:type="continuationNotice" w:id="1">
    <w:p w14:paraId="30FAB77A" w14:textId="77777777" w:rsidR="00B478D2" w:rsidRDefault="00B47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38D8" w14:textId="77777777" w:rsidR="00B478D2" w:rsidRDefault="00B478D2" w:rsidP="00F453C0">
      <w:r>
        <w:separator/>
      </w:r>
    </w:p>
  </w:footnote>
  <w:footnote w:type="continuationSeparator" w:id="0">
    <w:p w14:paraId="2A16F02C" w14:textId="77777777" w:rsidR="00B478D2" w:rsidRDefault="00B478D2" w:rsidP="00F453C0">
      <w:r>
        <w:continuationSeparator/>
      </w:r>
    </w:p>
  </w:footnote>
  <w:footnote w:type="continuationNotice" w:id="1">
    <w:p w14:paraId="5B273C02" w14:textId="77777777" w:rsidR="00B478D2" w:rsidRDefault="00B478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C523B"/>
    <w:rsid w:val="002E10E0"/>
    <w:rsid w:val="003260F1"/>
    <w:rsid w:val="0037375A"/>
    <w:rsid w:val="0039651F"/>
    <w:rsid w:val="003B2632"/>
    <w:rsid w:val="003B57D9"/>
    <w:rsid w:val="003D7279"/>
    <w:rsid w:val="003E117B"/>
    <w:rsid w:val="00432304"/>
    <w:rsid w:val="00433DD9"/>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2337"/>
    <w:rsid w:val="00606CFB"/>
    <w:rsid w:val="00610BDD"/>
    <w:rsid w:val="00621B5C"/>
    <w:rsid w:val="006260A8"/>
    <w:rsid w:val="006446E7"/>
    <w:rsid w:val="0066019E"/>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478D2"/>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2021-10-28T12:19:00Z</dcterms:created>
  <dcterms:modified xsi:type="dcterms:W3CDTF">2021-10-28T12:53:00Z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