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r>
        <w:rPr>
          <w:rFonts w:ascii="Georgia" w:cs="Georgia" w:eastAsia="Georgia" w:hAnsi="Georgia"/>
          <w:b/>
          <w:bCs/>
          <w:color w:val="2A2520"/>
          <w:sz w:val="36"/>
          <w:szCs w:val="36"/>
        </w:rPr>
        <w:t xml:space="preserve">Regulatory Compliance Guide</w:t>
      </w:r>
    </w:p>
    <w:p>
      <w:pPr>
        <w:spacing w:after="160"/>
      </w:pPr>
      <w:r>
        <w:rPr>
          <w:rFonts w:ascii="Georgia" w:cs="Georgia" w:eastAsia="Georgia" w:hAnsi="Georgia"/>
          <w:color w:val="8B7355"/>
          <w:sz w:val="22"/>
          <w:szCs w:val="22"/>
        </w:rPr>
        <w:t xml:space="preserve">NIST AI RMF × ISO 42001 × EU AI Act</w:t>
      </w:r>
    </w:p>
    <w:p>
      <w:pPr>
        <w:pBdr>
          <w:bottom w:val="single" w:color="8B7355" w:sz="4" w:space="8"/>
        </w:pBdr>
        <w:spacing w:after="200"/>
      </w:pPr>
    </w:p>
    <w:p>
      <w:pPr>
        <w:spacing w:after="100"/>
      </w:pPr>
      <w:r>
        <w:rPr>
          <w:rFonts w:ascii="Arial" w:cs="Arial" w:eastAsia="Arial" w:hAnsi="Arial"/>
          <w:color w:val="6B6560"/>
          <w:sz w:val="20"/>
          <w:szCs w:val="20"/>
        </w:rPr>
        <w:t xml:space="preserve">How the three frameworks connect, where they overlap, and how to demonstrate compliance to auditors.</w:t>
      </w:r>
    </w:p>
    <w:p>
      <w:r>
        <w:br w:type="page"/>
      </w:r>
    </w:p>
    <w:p>
      <w:pPr>
        <w:pStyle w:val="Heading1"/>
        <w:spacing w:before="300" w:after="160"/>
      </w:pPr>
      <w:r>
        <w:rPr>
          <w:rFonts w:ascii="Georgia" w:cs="Georgia" w:eastAsia="Georgia" w:hAnsi="Georgia"/>
          <w:b/>
          <w:bCs/>
          <w:color w:val="2A2520"/>
          <w:sz w:val="28"/>
          <w:szCs w:val="28"/>
        </w:rPr>
        <w:t xml:space="preserve">1. Three Frameworks, One System</w:t>
      </w:r>
    </w:p>
    <w:p>
      <w:pPr>
        <w:spacing w:after="100"/>
      </w:pPr>
      <w:r>
        <w:rPr>
          <w:rFonts w:ascii="Arial" w:cs="Arial" w:eastAsia="Arial" w:hAnsi="Arial"/>
          <w:color w:val="6B6560"/>
          <w:sz w:val="20"/>
          <w:szCs w:val="20"/>
        </w:rPr>
        <w:t xml:space="preserve">AI governance operates under three major regulatory and standards frameworks. Each has a different origin, scope, and enforcement mechanism — but they are more complementary than competitive. Organizations that align to all three have the strongest compliance posture.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NIST AI RMF</w:t>
            </w:r>
          </w:p>
        </w:tc>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42001</w:t>
            </w:r>
          </w:p>
        </w:tc>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EU AI Act</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Type</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Voluntary framework</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Certifiable standard</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Binding regulation</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Origin</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U.S. Dept. of Commerce</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International Standards Organization</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European Union</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Scope</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All AI systems</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AI management systems</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AI systems in/affecting EU</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Enforcement</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None (best practice)</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Certification audits</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Fines up to €35M or 7% revenue</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Structure</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4 functions, 19 categories, 72 subcategories</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10 clauses, 38 controls, 9 control areas</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Risk tiers + Annex IV documentation</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Focus</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Risk management lifecycle</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Management system + controls</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Risk classification + obligations</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Key deliverable</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Risk management plan</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AI management system</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Conformity assessment</w:t>
            </w:r>
          </w:p>
        </w:tc>
      </w:tr>
    </w:tbl>
    <w:p>
      <w:r>
        <w:br w:type="page"/>
      </w:r>
    </w:p>
    <w:p>
      <w:pPr>
        <w:pStyle w:val="Heading1"/>
        <w:spacing w:before="300" w:after="160"/>
      </w:pPr>
      <w:r>
        <w:rPr>
          <w:rFonts w:ascii="Georgia" w:cs="Georgia" w:eastAsia="Georgia" w:hAnsi="Georgia"/>
          <w:b/>
          <w:bCs/>
          <w:color w:val="2A2520"/>
          <w:sz w:val="28"/>
          <w:szCs w:val="28"/>
        </w:rPr>
        <w:t xml:space="preserve">2. How the Frameworks Connect</w:t>
      </w:r>
    </w:p>
    <w:p>
      <w:pPr>
        <w:spacing w:after="100"/>
      </w:pPr>
      <w:r>
        <w:rPr>
          <w:rFonts w:ascii="Arial" w:cs="Arial" w:eastAsia="Arial" w:hAnsi="Arial"/>
          <w:color w:val="6B6560"/>
          <w:sz w:val="20"/>
          <w:szCs w:val="20"/>
        </w:rPr>
        <w:t xml:space="preserve">The three frameworks address AI governance from different angles but overlap significantly:</w:t>
      </w:r>
    </w:p>
    <w:p>
      <w:pPr>
        <w:spacing w:after="40"/>
      </w:pPr>
    </w:p>
    <w:p>
      <w:pPr>
        <w:pStyle w:val="Heading2"/>
        <w:spacing w:before="240" w:after="120"/>
      </w:pPr>
      <w:r>
        <w:rPr>
          <w:rFonts w:ascii="Georgia" w:cs="Georgia" w:eastAsia="Georgia" w:hAnsi="Georgia"/>
          <w:b/>
          <w:bCs/>
          <w:color w:val="8B7355"/>
          <w:sz w:val="24"/>
          <w:szCs w:val="24"/>
        </w:rPr>
        <w:t xml:space="preserve">NIST AI RMF → The “What to Think About”</w:t>
      </w:r>
    </w:p>
    <w:p>
      <w:pPr>
        <w:spacing w:after="100"/>
      </w:pPr>
      <w:r>
        <w:rPr>
          <w:rFonts w:ascii="Arial" w:cs="Arial" w:eastAsia="Arial" w:hAnsi="Arial"/>
          <w:color w:val="6B6560"/>
          <w:sz w:val="20"/>
          <w:szCs w:val="20"/>
        </w:rPr>
        <w:t xml:space="preserve">NIST provides the most comprehensive taxonomy of AI risk management activities. Its four functions (GOVERN, MAP, MEASURE, MANAGE) cover the full lifecycle. Use NIST as your master risk management framework — it tells you what questions to ask.</w:t>
      </w:r>
    </w:p>
    <w:p>
      <w:pPr>
        <w:spacing w:after="40"/>
      </w:pPr>
    </w:p>
    <w:p>
      <w:pPr>
        <w:pStyle w:val="Heading2"/>
        <w:spacing w:before="240" w:after="120"/>
      </w:pPr>
      <w:r>
        <w:rPr>
          <w:rFonts w:ascii="Georgia" w:cs="Georgia" w:eastAsia="Georgia" w:hAnsi="Georgia"/>
          <w:b/>
          <w:bCs/>
          <w:color w:val="8B7355"/>
          <w:sz w:val="24"/>
          <w:szCs w:val="24"/>
        </w:rPr>
        <w:t xml:space="preserve">ISO 42001 → The “How to Organize”</w:t>
      </w:r>
    </w:p>
    <w:p>
      <w:pPr>
        <w:spacing w:after="100"/>
      </w:pPr>
      <w:r>
        <w:rPr>
          <w:rFonts w:ascii="Arial" w:cs="Arial" w:eastAsia="Arial" w:hAnsi="Arial"/>
          <w:color w:val="6B6560"/>
          <w:sz w:val="20"/>
          <w:szCs w:val="20"/>
        </w:rPr>
        <w:t xml:space="preserve">ISO 42001 specifies the management system — the organizational structure, policies, processes, and controls needed to govern AI. Where NIST tells you what risks to manage, ISO tells you how to build the system that manages them. If you pursue certification, ISO 42001 is the audit standard.</w:t>
      </w:r>
    </w:p>
    <w:p>
      <w:pPr>
        <w:spacing w:after="40"/>
      </w:pPr>
    </w:p>
    <w:p>
      <w:pPr>
        <w:pStyle w:val="Heading2"/>
        <w:spacing w:before="240" w:after="120"/>
      </w:pPr>
      <w:r>
        <w:rPr>
          <w:rFonts w:ascii="Georgia" w:cs="Georgia" w:eastAsia="Georgia" w:hAnsi="Georgia"/>
          <w:b/>
          <w:bCs/>
          <w:color w:val="8B7355"/>
          <w:sz w:val="24"/>
          <w:szCs w:val="24"/>
        </w:rPr>
        <w:t xml:space="preserve">EU AI Act → The “What You Must Do”</w:t>
      </w:r>
    </w:p>
    <w:p>
      <w:pPr>
        <w:spacing w:after="100"/>
      </w:pPr>
      <w:r>
        <w:rPr>
          <w:rFonts w:ascii="Arial" w:cs="Arial" w:eastAsia="Arial" w:hAnsi="Arial"/>
          <w:color w:val="6B6560"/>
          <w:sz w:val="20"/>
          <w:szCs w:val="20"/>
        </w:rPr>
        <w:t xml:space="preserve">The EU AI Act is law. It classifies AI systems by risk tier and imposes mandatory obligations on high-risk systems: technical documentation, conformity assessment, post-market monitoring, and incident reporting. If your AI systems affect EU citizens or are deployed in the EU, compliance is not optional.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D5D0C8" w:sz="1"/>
              <w:bottom w:val="single" w:color="D5D0C8" w:sz="1"/>
              <w:right w:val="single" w:color="D5D0C8" w:sz="1"/>
            </w:tcBorders>
            <w:shd w:fill="F9F7F3" w:val="clear"/>
            <w:tcMar>
              <w:top w:type="dxa" w:w="120"/>
              <w:left w:type="dxa" w:w="200"/>
              <w:bottom w:type="dxa" w:w="120"/>
              <w:right w:type="dxa" w:w="200"/>
            </w:tcMar>
          </w:tcPr>
          <w:p>
            <w:pPr>
              <w:spacing w:after="60"/>
            </w:pPr>
            <w:r>
              <w:rPr>
                <w:rFonts w:ascii="Arial" w:cs="Arial" w:eastAsia="Arial" w:hAnsi="Arial"/>
                <w:b/>
                <w:bCs/>
                <w:color w:val="2A2520"/>
                <w:sz w:val="18"/>
                <w:szCs w:val="18"/>
              </w:rPr>
              <w:t xml:space="preserve">THE PRACTICAL INTEGRATION</w:t>
            </w:r>
          </w:p>
          <w:p>
            <w:r>
              <w:rPr>
                <w:rFonts w:ascii="Arial" w:cs="Arial" w:eastAsia="Arial" w:hAnsi="Arial"/>
                <w:color w:val="6B6560"/>
                <w:sz w:val="18"/>
                <w:szCs w:val="18"/>
              </w:rPr>
              <w:t xml:space="preserve">Use NIST AI RMF as the risk management backbone. Layer ISO 42001 controls on top for organizational rigor. Map EU AI Act obligations to the specific AI systems that fall under regulatory scope. The governance toolkit you already have (risk assessment, gate lifecycle, model cards) implements all three simultaneously.</w:t>
            </w:r>
          </w:p>
        </w:tc>
      </w:tr>
    </w:tbl>
    <w:p>
      <w:r>
        <w:br w:type="page"/>
      </w:r>
    </w:p>
    <w:p>
      <w:pPr>
        <w:pStyle w:val="Heading1"/>
        <w:spacing w:before="300" w:after="160"/>
      </w:pPr>
      <w:r>
        <w:rPr>
          <w:rFonts w:ascii="Georgia" w:cs="Georgia" w:eastAsia="Georgia" w:hAnsi="Georgia"/>
          <w:b/>
          <w:bCs/>
          <w:color w:val="2A2520"/>
          <w:sz w:val="28"/>
          <w:szCs w:val="28"/>
        </w:rPr>
        <w:t xml:space="preserve">3. Key Overlap Areas</w:t>
      </w:r>
    </w:p>
    <w:p>
      <w:pPr>
        <w:spacing w:after="100"/>
      </w:pPr>
      <w:r>
        <w:rPr>
          <w:rFonts w:ascii="Arial" w:cs="Arial" w:eastAsia="Arial" w:hAnsi="Arial"/>
          <w:color w:val="6B6560"/>
          <w:sz w:val="20"/>
          <w:szCs w:val="20"/>
        </w:rPr>
        <w:t xml:space="preserve">The following governance activities satisfy requirements across all three frameworks: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Governance Activity</w:t>
            </w:r>
          </w:p>
        </w:tc>
        <w:tc>
          <w:tcPr>
            <w:tcW w:type="dxa" w:w="20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NIST AI RMF</w:t>
            </w:r>
          </w:p>
        </w:tc>
        <w:tc>
          <w:tcPr>
            <w:tcW w:type="dxa" w:w="20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42001</w:t>
            </w:r>
          </w:p>
        </w:tc>
        <w:tc>
          <w:tcPr>
            <w:tcW w:type="dxa" w:w="20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EU AI Act</w:t>
            </w:r>
          </w:p>
        </w:tc>
      </w:tr>
      <w:t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Risk assessment and classification</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MAP 1, MAP 3</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A.4 Risk Assessment</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9, Annex III</w:t>
            </w:r>
          </w:p>
        </w:tc>
      </w:tr>
      <w:tr>
        <w:tc>
          <w:tcPr>
            <w:tcW w:type="dxa" w:w="312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Technical documentation</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GOVERN 4, MAP 5</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A.7 System Lifecycle</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Annex IV (mandatory)</w:t>
            </w:r>
          </w:p>
        </w:tc>
      </w:tr>
      <w:t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Bias and fairness testing</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MEASURE 2</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A.8 Data Quality</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10, 71</w:t>
            </w:r>
          </w:p>
        </w:tc>
      </w:tr>
      <w:tr>
        <w:tc>
          <w:tcPr>
            <w:tcW w:type="dxa" w:w="312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Human oversight mechanisms</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GOVERN 1, MANAGE 2</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A.6 Human Oversight</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14</w:t>
            </w:r>
          </w:p>
        </w:tc>
      </w:tr>
      <w:t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Post-deployment monitoring</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MANAGE 3, MANAGE 4</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A.9 Monitoring</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72 (post-market)</w:t>
            </w:r>
          </w:p>
        </w:tc>
      </w:tr>
      <w:tr>
        <w:tc>
          <w:tcPr>
            <w:tcW w:type="dxa" w:w="312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Incident reporting</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MANAGE 4</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A.9.3 Nonconformity</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73 (mandatory)</w:t>
            </w:r>
          </w:p>
        </w:tc>
      </w:tr>
      <w:t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Governance structure and roles</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GOVERN 2, GOVERN 3</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A.3 Internal Organization</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26 (obligations)</w:t>
            </w:r>
          </w:p>
        </w:tc>
      </w:tr>
      <w:tr>
        <w:tc>
          <w:tcPr>
            <w:tcW w:type="dxa" w:w="312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Data governance</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MAP 2, MEASURE 1</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A.8 Data Governance</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10 (data quality)</w:t>
            </w:r>
          </w:p>
        </w:tc>
      </w:tr>
      <w:t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Transparency and explainability</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GOVERN 1.4, MAP 5</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A.5 AI Impact Assessment</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13 (transparency)</w:t>
            </w:r>
          </w:p>
        </w:tc>
      </w:tr>
      <w:tr>
        <w:tc>
          <w:tcPr>
            <w:tcW w:type="dxa" w:w="312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Third-party/vendor governance</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GOVERN 5</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A.10 Third-Party</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25 (importers)</w:t>
            </w:r>
          </w:p>
        </w:tc>
      </w:tr>
    </w:tbl>
    <w:p>
      <w:pPr>
        <w:spacing w:after="60"/>
      </w:pPr>
    </w:p>
    <w:p>
      <w:pPr>
        <w:spacing w:after="100"/>
      </w:pPr>
      <w:r>
        <w:rPr>
          <w:rFonts w:ascii="Arial" w:cs="Arial" w:eastAsia="Arial" w:hAnsi="Arial"/>
          <w:i/>
          <w:iCs/>
          <w:color w:val="8B7355"/>
          <w:sz w:val="20"/>
          <w:szCs w:val="20"/>
        </w:rPr>
        <w:t xml:space="preserve">See the Risk Classification Crosswalk (.xlsx) for the full mapping of internal risk tiers to each framework’s categories.</w:t>
      </w:r>
    </w:p>
    <w:p>
      <w:r>
        <w:br w:type="page"/>
      </w:r>
    </w:p>
    <w:p>
      <w:pPr>
        <w:pStyle w:val="Heading1"/>
        <w:spacing w:before="300" w:after="160"/>
      </w:pPr>
      <w:r>
        <w:rPr>
          <w:rFonts w:ascii="Georgia" w:cs="Georgia" w:eastAsia="Georgia" w:hAnsi="Georgia"/>
          <w:b/>
          <w:bCs/>
          <w:color w:val="2A2520"/>
          <w:sz w:val="28"/>
          <w:szCs w:val="28"/>
        </w:rPr>
        <w:t xml:space="preserve">4. Audit-Ready Evidence Guide</w:t>
      </w:r>
    </w:p>
    <w:p>
      <w:pPr>
        <w:spacing w:after="100"/>
      </w:pPr>
      <w:r>
        <w:rPr>
          <w:rFonts w:ascii="Arial" w:cs="Arial" w:eastAsia="Arial" w:hAnsi="Arial"/>
          <w:color w:val="6B6560"/>
          <w:sz w:val="20"/>
          <w:szCs w:val="20"/>
        </w:rPr>
        <w:t xml:space="preserve">When auditors or regulators assess your AI governance, they look for documented evidence. Here’s what to collect, where to store it, and how to present 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560"/>
        <w:gridCol w:w="1950"/>
      </w:tblGrid>
      <w:tr>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Evidence Type</w:t>
            </w:r>
          </w:p>
        </w:tc>
        <w:tc>
          <w:tcPr>
            <w:tcW w:type="dxa" w:w="351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to Collect</w:t>
            </w:r>
          </w:p>
        </w:tc>
        <w:tc>
          <w:tcPr>
            <w:tcW w:type="dxa" w:w="15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Where to Store</w:t>
            </w:r>
          </w:p>
        </w:tc>
        <w:tc>
          <w:tcPr>
            <w:tcW w:type="dxa" w:w="195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Frameworks</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Risk assessments</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Completed Risk Assessment Questionnaires + Scoring Matrices for every AI system</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AI Inventory</w:t>
            </w:r>
          </w:p>
        </w:tc>
        <w:tc>
          <w:tcPr>
            <w:tcW w:type="dxa" w:w="195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All three</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Gate approval records</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Completed Gate Checklists with dates, reviewers, and decisions (Go/No-Go/Conditional)</w:t>
            </w:r>
          </w:p>
        </w:tc>
        <w:tc>
          <w:tcPr>
            <w:tcW w:type="dxa" w:w="1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AI Inventory</w:t>
            </w:r>
          </w:p>
        </w:tc>
        <w:tc>
          <w:tcPr>
            <w:tcW w:type="dxa" w:w="195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NIST, ISO</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Model Cards</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Completed Model Cards (ML or GenAI) for every production AI system</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AI Inventory</w:t>
            </w:r>
          </w:p>
        </w:tc>
        <w:tc>
          <w:tcPr>
            <w:tcW w:type="dxa" w:w="195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All three</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AI Use Policy</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Ratified policy document + distribution records + employee acknowledgments</w:t>
            </w:r>
          </w:p>
        </w:tc>
        <w:tc>
          <w:tcPr>
            <w:tcW w:type="dxa" w:w="1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Policy repository</w:t>
            </w:r>
          </w:p>
        </w:tc>
        <w:tc>
          <w:tcPr>
            <w:tcW w:type="dxa" w:w="195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ISO, EU AI Act</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Governance charter</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Approved CoE Charter + RACI Matrix + meeting minutes from Fabric Core reviews</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Governance docs</w:t>
            </w:r>
          </w:p>
        </w:tc>
        <w:tc>
          <w:tcPr>
            <w:tcW w:type="dxa" w:w="195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ISO 42001</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Bias/fairness testing</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Testing methodology, results, and remediation actions for high-risk systems</w:t>
            </w:r>
          </w:p>
        </w:tc>
        <w:tc>
          <w:tcPr>
            <w:tcW w:type="dxa" w:w="1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Model Card</w:t>
            </w:r>
          </w:p>
        </w:tc>
        <w:tc>
          <w:tcPr>
            <w:tcW w:type="dxa" w:w="195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NIST, EU AI Act</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Vendor assessments</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Completed Vendor Assessment Scorecards + contract terms for AI-related clauses</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Vendor register</w:t>
            </w:r>
          </w:p>
        </w:tc>
        <w:tc>
          <w:tcPr>
            <w:tcW w:type="dxa" w:w="195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All three</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Monitoring records</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Performance dashboards, drift detection logs, re-assessment schedules and results</w:t>
            </w:r>
          </w:p>
        </w:tc>
        <w:tc>
          <w:tcPr>
            <w:tcW w:type="dxa" w:w="1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System logs</w:t>
            </w:r>
          </w:p>
        </w:tc>
        <w:tc>
          <w:tcPr>
            <w:tcW w:type="dxa" w:w="195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NIST, EU AI Act</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Incident reports</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Incident description, root cause, remediation, and timeline</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Incident register</w:t>
            </w:r>
          </w:p>
        </w:tc>
        <w:tc>
          <w:tcPr>
            <w:tcW w:type="dxa" w:w="195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All three</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Training records</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AI Lead certifications, employee AI training completion records</w:t>
            </w:r>
          </w:p>
        </w:tc>
        <w:tc>
          <w:tcPr>
            <w:tcW w:type="dxa" w:w="1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HR/L&amp;D system</w:t>
            </w:r>
          </w:p>
        </w:tc>
        <w:tc>
          <w:tcPr>
            <w:tcW w:type="dxa" w:w="195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ISO 42001</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Value tracking</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Value Realization Tracker with baseline, target, and actual metrics per system</w:t>
            </w:r>
          </w:p>
        </w:tc>
        <w:tc>
          <w:tcPr>
            <w:tcW w:type="dxa" w:w="1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AI Inventory</w:t>
            </w:r>
          </w:p>
        </w:tc>
        <w:tc>
          <w:tcPr>
            <w:tcW w:type="dxa" w:w="195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NIST GOVERN</w:t>
            </w:r>
          </w:p>
        </w:tc>
      </w:tr>
    </w:tbl>
    <w:p>
      <w:r>
        <w:br w:type="page"/>
      </w:r>
    </w:p>
    <w:p>
      <w:pPr>
        <w:pStyle w:val="Heading1"/>
        <w:spacing w:before="300" w:after="160"/>
      </w:pPr>
      <w:r>
        <w:rPr>
          <w:rFonts w:ascii="Georgia" w:cs="Georgia" w:eastAsia="Georgia" w:hAnsi="Georgia"/>
          <w:b/>
          <w:bCs/>
          <w:color w:val="2A2520"/>
          <w:sz w:val="28"/>
          <w:szCs w:val="28"/>
        </w:rPr>
        <w:t xml:space="preserve">5. EU AI Act: What’s Mandatory</w:t>
      </w:r>
    </w:p>
    <w:p>
      <w:pPr>
        <w:spacing w:after="100"/>
      </w:pPr>
      <w:r>
        <w:rPr>
          <w:rFonts w:ascii="Arial" w:cs="Arial" w:eastAsia="Arial" w:hAnsi="Arial"/>
          <w:color w:val="6B6560"/>
          <w:sz w:val="20"/>
          <w:szCs w:val="20"/>
        </w:rPr>
        <w:t xml:space="preserve">If your AI systems affect EU citizens or are deployed in the EU, these obligations apply:</w:t>
      </w:r>
    </w:p>
    <w:p>
      <w:pPr>
        <w:spacing w:after="40"/>
      </w:pPr>
    </w:p>
    <w:p>
      <w:pPr>
        <w:pStyle w:val="Heading2"/>
        <w:spacing w:before="240" w:after="120"/>
      </w:pPr>
      <w:r>
        <w:rPr>
          <w:rFonts w:ascii="Georgia" w:cs="Georgia" w:eastAsia="Georgia" w:hAnsi="Georgia"/>
          <w:b/>
          <w:bCs/>
          <w:color w:val="8B7355"/>
          <w:sz w:val="24"/>
          <w:szCs w:val="24"/>
        </w:rPr>
        <w:t xml:space="preserve">Risk Tiers Under the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EU AI Act Tier</w:t>
            </w:r>
          </w:p>
        </w:tc>
        <w:tc>
          <w:tcPr>
            <w:tcW w:type="dxa" w:w="351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W w:type="dxa" w:w="351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Obligations</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Prohibited</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Social scoring, real-time remote biometric ID (with exceptions), manipulation, exploitation of vulnerable groups</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Banned. Cannot be deployed.</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D4A017"/>
                <w:sz w:val="18"/>
                <w:szCs w:val="18"/>
              </w:rPr>
              <w:t xml:space="preserve">High Risk</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Annex III systems: biometrics, critical infrastructure, education, employment, essential services, law enforcement, migration, justice</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Conformity assessment, Annex IV documentation, post-market monitoring, incident reporting, human oversight, CE marking</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Limited Risk</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Chatbots, emotion recognition, deep fakes, AI-generated content</w:t>
            </w:r>
          </w:p>
        </w:tc>
        <w:tc>
          <w:tcPr>
            <w:tcW w:type="dxa" w:w="351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Transparency obligations: users must be informed they are interacting with AI</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4A7C59"/>
                <w:sz w:val="18"/>
                <w:szCs w:val="18"/>
              </w:rPr>
              <w:t xml:space="preserve">Minimal Risk</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AI-enabled video games, spam filters, inventory management</w:t>
            </w:r>
          </w:p>
        </w:tc>
        <w:tc>
          <w:tcPr>
            <w:tcW w:type="dxa" w:w="351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No mandatory requirements (voluntary codes of conduct encouraged)</w:t>
            </w:r>
          </w:p>
        </w:tc>
      </w:tr>
    </w:tbl>
    <w:p>
      <w:pPr>
        <w:spacing w:after="80"/>
      </w:pPr>
    </w:p>
    <w:p>
      <w:pPr>
        <w:pStyle w:val="Heading2"/>
        <w:spacing w:before="240" w:after="120"/>
      </w:pPr>
      <w:r>
        <w:rPr>
          <w:rFonts w:ascii="Georgia" w:cs="Georgia" w:eastAsia="Georgia" w:hAnsi="Georgia"/>
          <w:b/>
          <w:bCs/>
          <w:color w:val="8B7355"/>
          <w:sz w:val="24"/>
          <w:szCs w:val="24"/>
        </w:rPr>
        <w:t xml:space="preserve">Annex IV Documentation Requirements</w:t>
      </w:r>
    </w:p>
    <w:p>
      <w:pPr>
        <w:spacing w:after="100"/>
      </w:pPr>
      <w:r>
        <w:rPr>
          <w:rFonts w:ascii="Arial" w:cs="Arial" w:eastAsia="Arial" w:hAnsi="Arial"/>
          <w:color w:val="6B6560"/>
          <w:sz w:val="20"/>
          <w:szCs w:val="20"/>
        </w:rPr>
        <w:t xml:space="preserve">For high-risk AI systems, Annex IV requires technical documentation covering:</w:t>
      </w:r>
    </w:p>
    <w:p>
      <w:pPr>
        <w:pStyle w:val="ListParagraph"/>
        <w:numPr>
          <w:ilvl w:val="0"/>
          <w:numId w:val="2"/>
        </w:numPr>
        <w:spacing w:after="60"/>
      </w:pPr>
      <w:r>
        <w:rPr>
          <w:rFonts w:ascii="Arial" w:cs="Arial" w:eastAsia="Arial" w:hAnsi="Arial"/>
          <w:color w:val="6B6560"/>
          <w:sz w:val="20"/>
          <w:szCs w:val="20"/>
        </w:rPr>
        <w:t xml:space="preserve">General description of the AI system (purpose, intended use, design choices)</w:t>
      </w:r>
    </w:p>
    <w:p>
      <w:pPr>
        <w:pStyle w:val="ListParagraph"/>
        <w:numPr>
          <w:ilvl w:val="0"/>
          <w:numId w:val="2"/>
        </w:numPr>
        <w:spacing w:after="60"/>
      </w:pPr>
      <w:r>
        <w:rPr>
          <w:rFonts w:ascii="Arial" w:cs="Arial" w:eastAsia="Arial" w:hAnsi="Arial"/>
          <w:color w:val="6B6560"/>
          <w:sz w:val="20"/>
          <w:szCs w:val="20"/>
        </w:rPr>
        <w:t xml:space="preserve">Detailed description of system development (methodology, data, design decisions)</w:t>
      </w:r>
    </w:p>
    <w:p>
      <w:pPr>
        <w:pStyle w:val="ListParagraph"/>
        <w:numPr>
          <w:ilvl w:val="0"/>
          <w:numId w:val="2"/>
        </w:numPr>
        <w:spacing w:after="60"/>
      </w:pPr>
      <w:r>
        <w:rPr>
          <w:rFonts w:ascii="Arial" w:cs="Arial" w:eastAsia="Arial" w:hAnsi="Arial"/>
          <w:color w:val="6B6560"/>
          <w:sz w:val="20"/>
          <w:szCs w:val="20"/>
        </w:rPr>
        <w:t xml:space="preserve">Monitoring, functioning, and control (performance metrics, oversight mechanisms)</w:t>
      </w:r>
    </w:p>
    <w:p>
      <w:pPr>
        <w:pStyle w:val="ListParagraph"/>
        <w:numPr>
          <w:ilvl w:val="0"/>
          <w:numId w:val="2"/>
        </w:numPr>
        <w:spacing w:after="60"/>
      </w:pPr>
      <w:r>
        <w:rPr>
          <w:rFonts w:ascii="Arial" w:cs="Arial" w:eastAsia="Arial" w:hAnsi="Arial"/>
          <w:color w:val="6B6560"/>
          <w:sz w:val="20"/>
          <w:szCs w:val="20"/>
        </w:rPr>
        <w:t xml:space="preserve">Risk management system (identification, analysis, mitigation measures)</w:t>
      </w:r>
    </w:p>
    <w:p>
      <w:pPr>
        <w:pStyle w:val="ListParagraph"/>
        <w:numPr>
          <w:ilvl w:val="0"/>
          <w:numId w:val="2"/>
        </w:numPr>
        <w:spacing w:after="60"/>
      </w:pPr>
      <w:r>
        <w:rPr>
          <w:rFonts w:ascii="Arial" w:cs="Arial" w:eastAsia="Arial" w:hAnsi="Arial"/>
          <w:color w:val="6B6560"/>
          <w:sz w:val="20"/>
          <w:szCs w:val="20"/>
        </w:rPr>
        <w:t xml:space="preserve">Description of changes through lifecycle (version control, modification records)</w:t>
      </w:r>
    </w:p>
    <w:p>
      <w:pPr>
        <w:pStyle w:val="ListParagraph"/>
        <w:numPr>
          <w:ilvl w:val="0"/>
          <w:numId w:val="2"/>
        </w:numPr>
        <w:spacing w:after="60"/>
      </w:pPr>
      <w:r>
        <w:rPr>
          <w:rFonts w:ascii="Arial" w:cs="Arial" w:eastAsia="Arial" w:hAnsi="Arial"/>
          <w:color w:val="6B6560"/>
          <w:sz w:val="20"/>
          <w:szCs w:val="20"/>
        </w:rPr>
        <w:t xml:space="preserve">List of applied harmonized standards or common specifications</w:t>
      </w:r>
    </w:p>
    <w:p>
      <w:pPr>
        <w:pStyle w:val="ListParagraph"/>
        <w:numPr>
          <w:ilvl w:val="0"/>
          <w:numId w:val="2"/>
        </w:numPr>
        <w:spacing w:after="60"/>
      </w:pPr>
      <w:r>
        <w:rPr>
          <w:rFonts w:ascii="Arial" w:cs="Arial" w:eastAsia="Arial" w:hAnsi="Arial"/>
          <w:color w:val="6B6560"/>
          <w:sz w:val="20"/>
          <w:szCs w:val="20"/>
        </w:rPr>
        <w:t xml:space="preserve">Copy of the EU Declaration of Conformity</w:t>
      </w:r>
    </w:p>
    <w:p>
      <w:pPr>
        <w:spacing w:after="40"/>
      </w:pPr>
    </w:p>
    <w:p>
      <w:pPr>
        <w:spacing w:after="100"/>
      </w:pPr>
      <w:r>
        <w:rPr>
          <w:rFonts w:ascii="Arial" w:cs="Arial" w:eastAsia="Arial" w:hAnsi="Arial"/>
          <w:i/>
          <w:iCs/>
          <w:color w:val="8B7355"/>
          <w:sz w:val="20"/>
          <w:szCs w:val="20"/>
        </w:rPr>
        <w:t xml:space="preserve">Use the EU AI Act Annex IV Compliance Checklist (.xlsx) included in this package to track completion of each requirement.</w:t>
      </w:r>
    </w:p>
    <w:p>
      <w:r>
        <w:br w:type="page"/>
      </w:r>
    </w:p>
    <w:p>
      <w:pPr>
        <w:pStyle w:val="Heading1"/>
        <w:spacing w:before="300" w:after="160"/>
      </w:pPr>
      <w:r>
        <w:rPr>
          <w:rFonts w:ascii="Georgia" w:cs="Georgia" w:eastAsia="Georgia" w:hAnsi="Georgia"/>
          <w:b/>
          <w:bCs/>
          <w:color w:val="2A2520"/>
          <w:sz w:val="28"/>
          <w:szCs w:val="28"/>
        </w:rPr>
        <w:t xml:space="preserve">6. Your Compliance Templates</w:t>
      </w:r>
    </w:p>
    <w:p>
      <w:pPr>
        <w:spacing w:after="100"/>
      </w:pPr>
      <w:r>
        <w:rPr>
          <w:rFonts w:ascii="Arial" w:cs="Arial" w:eastAsia="Arial" w:hAnsi="Arial"/>
          <w:color w:val="6B6560"/>
          <w:sz w:val="20"/>
          <w:szCs w:val="20"/>
        </w:rPr>
        <w:t xml:space="preserve">This package includes pre-built templates for each framework: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Template</w:t>
            </w:r>
          </w:p>
        </w:tc>
        <w:tc>
          <w:tcPr>
            <w:tcW w:type="dxa" w:w="20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w:t>
            </w:r>
          </w:p>
        </w:tc>
        <w:tc>
          <w:tcPr>
            <w:tcW w:type="dxa" w:w="41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w:t>
            </w:r>
          </w:p>
        </w:tc>
      </w:tr>
      <w:t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NIST AI RMF Traceability Matrix</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NIST AI RMF</w:t>
            </w:r>
          </w:p>
        </w:tc>
        <w:tc>
          <w:tcPr>
            <w:tcW w:type="dxa" w:w="41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Maps governance activities to all 72 NIST subcategories. Track implementation status per function.</w:t>
            </w:r>
          </w:p>
        </w:tc>
      </w:tr>
      <w:tr>
        <w:tc>
          <w:tcPr>
            <w:tcW w:type="dxa" w:w="312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ISO 42001 Control Mapping</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ISO 42001</w:t>
            </w:r>
          </w:p>
        </w:tc>
        <w:tc>
          <w:tcPr>
            <w:tcW w:type="dxa" w:w="41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Maps governance activities to all 38 ISO controls across 9 areas. Tracks compliance evidence.</w:t>
            </w:r>
          </w:p>
        </w:tc>
      </w:tr>
      <w:t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EU AI Act Annex IV Checklist</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EU AI Act</w:t>
            </w:r>
          </w:p>
        </w:tc>
        <w:tc>
          <w:tcPr>
            <w:tcW w:type="dxa" w:w="41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Requirement-by-requirement tracker for Annex IV documentation. Per-system completion status.</w:t>
            </w:r>
          </w:p>
        </w:tc>
      </w:tr>
      <w:tr>
        <w:tc>
          <w:tcPr>
            <w:tcW w:type="dxa" w:w="312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EU Declaration of Conformity</w:t>
            </w:r>
          </w:p>
        </w:tc>
        <w:tc>
          <w:tcPr>
            <w:tcW w:type="dxa" w:w="20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EU AI Act</w:t>
            </w:r>
          </w:p>
        </w:tc>
        <w:tc>
          <w:tcPr>
            <w:tcW w:type="dxa" w:w="41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Article 47 compliant template. Fill in per high-risk AI system before EU deployment.</w:t>
            </w:r>
          </w:p>
        </w:tc>
      </w:tr>
      <w:tr>
        <w:tc>
          <w:tcPr>
            <w:tcW w:type="dxa" w:w="312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Risk Classification Crosswalk</w:t>
            </w:r>
          </w:p>
        </w:tc>
        <w:tc>
          <w:tcPr>
            <w:tcW w:type="dxa" w:w="20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All three</w:t>
            </w:r>
          </w:p>
        </w:tc>
        <w:tc>
          <w:tcPr>
            <w:tcW w:type="dxa" w:w="41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Maps your internal risk tiers (Low/Medium/High) to NIST functions, ISO controls, and EU AI Act categories.</w:t>
            </w:r>
          </w:p>
        </w:tc>
      </w:tr>
    </w:tbl>
    <w:p>
      <w:pPr>
        <w:spacing w:after="200"/>
      </w:pPr>
    </w:p>
    <w:p>
      <w:pPr>
        <w:spacing w:after="100"/>
      </w:pPr>
      <w:r>
        <w:rPr>
          <w:rFonts w:ascii="Arial" w:cs="Arial" w:eastAsia="Arial" w:hAnsi="Arial"/>
          <w:color w:val="6B6560"/>
          <w:sz w:val="20"/>
          <w:szCs w:val="20"/>
        </w:rPr>
        <w:t xml:space="preserve">© 2026 Gordon Chan / Creative Precision. All rights reserved.</w:t>
      </w:r>
    </w:p>
    <w:p>
      <w:pPr>
        <w:spacing w:after="100"/>
      </w:pPr>
      <w:r>
        <w:rPr>
          <w:rFonts w:ascii="Arial" w:cs="Arial" w:eastAsia="Arial" w:hAnsi="Arial"/>
          <w:i/>
          <w:iCs/>
          <w:color w:val="6B6560"/>
          <w:sz w:val="20"/>
          <w:szCs w:val="20"/>
        </w:rPr>
        <w:t xml:space="preserve">Licensed for use by the purchasing organization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4"/>
        <w:szCs w:val="14"/>
      </w:rPr>
      <w:t xml:space="preserve">© 2026 Gordon Chan / Creative Precision  |  Licensed for organizational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1" w:space="4"/>
      </w:pBdr>
      <w:jc w:val="right"/>
    </w:pPr>
    <w:r>
      <w:rPr>
        <w:rFonts w:ascii="Arial" w:cs="Arial" w:eastAsia="Arial" w:hAnsi="Arial"/>
        <w:b/>
        <w:bCs/>
        <w:color w:val="8B7355"/>
        <w:sz w:val="14"/>
        <w:szCs w:val="14"/>
      </w:rPr>
      <w:t xml:space="preserve">CREATIVE PRECISION</w:t>
    </w:r>
    <w:r>
      <w:rPr>
        <w:rFonts w:ascii="Arial" w:cs="Arial" w:eastAsia="Arial" w:hAnsi="Arial"/>
        <w:color w:val="6B6560"/>
        <w:sz w:val="14"/>
        <w:szCs w:val="14"/>
      </w:rPr>
      <w:t xml:space="preserve">  |  Regulatory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Georgia" w:cs="Georgia" w:eastAsia="Georgia" w:hAnsi="Georgia"/>
      <w:b/>
      <w:bCs/>
      <w:color w:val="2A2520"/>
      <w:sz w:val="28"/>
      <w:szCs w:val="28"/>
    </w:rPr>
  </w:style>
  <w:style w:type="paragraph" w:styleId="Heading2">
    <w:name w:val="Heading 2"/>
    <w:basedOn w:val="Normal"/>
    <w:next w:val="Normal"/>
    <w:qFormat/>
    <w:pPr>
      <w:spacing w:before="240" w:after="120"/>
      <w:outlineLvl w:val="1"/>
    </w:pPr>
    <w:rPr>
      <w:rFonts w:ascii="Georgia" w:cs="Georgia" w:eastAsia="Georgia" w:hAnsi="Georgia"/>
      <w:b/>
      <w:bCs/>
      <w:color w:val="8B7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2026-02-26T04:58:14.631Z</dcterms:created>
  <dcterms:modified xsi:type="dcterms:W3CDTF">2026-02-26T04:58:14.632Z</dcterms:modified>
</cp:coreProperties>
</file>

<file path=docProps/custom.xml><?xml version="1.0" encoding="utf-8"?>
<Properties xmlns="http://schemas.openxmlformats.org/officeDocument/2006/custom-properties" xmlns:vt="http://schemas.openxmlformats.org/officeDocument/2006/docPropsVTypes"/>
</file>