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2A2520"/>
          <w:sz w:val="44"/>
          <w:szCs w:val="44"/>
        </w:rPr>
        <w:t xml:space="preserve">AI RISK ASSESSMENT</w:t>
      </w:r>
    </w:p>
    <w:p>
      <w:pPr>
        <w:spacing w:after="40"/>
        <w:jc w:val="left"/>
      </w:pPr>
      <w:r>
        <w:rPr>
          <w:rFonts w:ascii="Georgia" w:cs="Georgia" w:eastAsia="Georgia" w:hAnsi="Georgia"/>
          <w:b/>
          <w:bCs/>
          <w:color w:val="8B7355"/>
          <w:sz w:val="44"/>
          <w:szCs w:val="44"/>
        </w:rPr>
        <w:t xml:space="preserve">QUESTIONNAIRE</w:t>
      </w:r>
    </w:p>
    <w:p>
      <w:pPr>
        <w:pBdr>
          <w:bottom w:val="single" w:color="8B7355" w:sz="6" w:space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25 scored questions across 5 risk dimensions. Designed to classify AI systems by risk tier and route them to the appropriate governance lane.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Creative Precision Risk &amp; Routing Toolkit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1.0  |  February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Gordon Chan</w:t>
      </w:r>
    </w:p>
    <w:p>
      <w:pPr>
        <w:spacing w:after="400"/>
      </w:pPr>
    </w:p>
    <w:p>
      <w:pPr>
        <w:spacing w:after="60"/>
      </w:pPr>
      <w:r>
        <w:rPr>
          <w:rFonts w:ascii="Arial" w:cs="Arial" w:eastAsia="Arial" w:hAnsi="Arial"/>
          <w:color w:val="6B6560"/>
          <w:sz w:val="16"/>
          <w:szCs w:val="16"/>
        </w:rPr>
        <w:t xml:space="preserve">© 2026 Gordon Chan / Creative Precision. All rights reserved.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6560"/>
          <w:sz w:val="16"/>
          <w:szCs w:val="16"/>
        </w:rPr>
        <w:t xml:space="preserve">This document is licensed for use by the purchasing organization only. Redistribution, resale, or sharing outside your organization is prohibited. See License Agreement for full terms.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How to Use This Questionnaire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This questionnaire evaluates AI systems across five risk dimensions. Each dimension contains five questions scored on a three-point scale. Complete the questionnaire for each AI system or initiative entering your governance pipeline.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Scoring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For each question, select the response that best describes the current state. Scores are assigned automatically: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Low Risk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Current controls are adequate. Standard governance lane.</w:t>
            </w:r>
          </w:p>
        </w:tc>
      </w:tr>
      <w:tr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Medium Risk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Gaps exist. Enhanced review required. Standard or Strategic lane depending on aggregate.</w:t>
            </w:r>
          </w:p>
        </w:tc>
      </w:tr>
      <w:tr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High Risk</w:t>
            </w:r>
          </w:p>
        </w:tc>
        <w:tc>
          <w:tcPr>
            <w:tcW w:type="dxa" w:w="6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Significant exposure. Strategic governance lane with executive review.</w:t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Risk Tier Thresholds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After completing all 25 questions, sum the total score and classify using the thresholds below: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Tier</w:t>
            </w:r>
          </w:p>
        </w:tc>
        <w:tc>
          <w:tcPr>
            <w:tcW w:type="dxa" w:w="2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Governance Lane</w:t>
            </w:r>
          </w:p>
        </w:tc>
        <w:tc>
          <w:tcPr>
            <w:tcW w:type="dxa" w:w="2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Depth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25 – 37</w:t>
            </w:r>
          </w:p>
        </w:tc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LOW</w:t>
            </w:r>
          </w:p>
        </w:tc>
        <w:tc>
          <w:tcPr>
            <w:tcW w:type="dxa" w:w="2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Express Lane</w:t>
            </w:r>
          </w:p>
        </w:tc>
        <w:tc>
          <w:tcPr>
            <w:tcW w:type="dxa" w:w="2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Lightweight review. Quarterly audit. Minimal documentation.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38 – 52</w:t>
            </w:r>
          </w:p>
        </w:tc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Standard Lane</w:t>
            </w:r>
          </w:p>
        </w:tc>
        <w:tc>
          <w:tcPr>
            <w:tcW w:type="dxa" w:w="2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 gate review. Model card required. Annual audit.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53 – 75</w:t>
            </w:r>
          </w:p>
        </w:tc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Strategic Lane</w:t>
            </w:r>
          </w:p>
        </w:tc>
        <w:tc>
          <w:tcPr>
            <w:tcW w:type="dxa" w:w="2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Fabric Core review + Gate 1.5. Ethics assessment. Executive sign-off.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Note: Any single dimension scoring 13+ automatically triggers Strategic Lane review regardless of total score.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Assessment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AI System / Project Name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[Enter system name]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Business Unit / Department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[Enter BU]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Assessor Name &amp; Role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[Enter name and title]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[Enter date]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System Description (1–2 sentences)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[Brief description of what the AI system does and its intended purpose]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Current Lifecycle Stage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[Ideation / Development / Pilot / Production / Retirement]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Dimension 1: Data &amp; Privacy Risk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Evaluates the sensitivity, quality, and governance posture of data used by the AI system.</w:t>
      </w:r>
    </w:p>
    <w:p>
      <w:pPr>
        <w:spacing w:after="12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1.1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the AI system process personally identifiable information (PII) or protected health information (PHI)?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PII/PHI — uses only aggregated or synthetic data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Limited PII with existing access controls and consent frameworks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Extensive PII/PHI processing with cross-system data flows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1.2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How is training data sourced, validated, and documented?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Well-documented, curated datasets with clear provenance and quality metrics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Mix of internal data with partial documentation; some quality gaps identified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Undocumented or third-party data with unknown provenance or bias characteristics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1.3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the system create new data linkages that could reveal sensitive attributes?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new linkages — operates on isolated datasets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Creates linkages within a single domain with existing controls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Cross-domain linkages that could enable re-identification or reveal protected attributes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1.4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What data retention and deletion mechanisms exist?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Automated retention policies with documented deletion procedures and audit trails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Manual retention management with periodic reviews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formal retention policy; data persists indefinitely without review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1.5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How are data quality issues detected and remediated?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Automated quality monitoring with defined thresholds and remediation workflows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Periodic manual reviews with some quality metrics tracked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systematic quality monitoring; issues discovered reactively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DIMENSION 1 SUBTOTAL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_____ / 15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Dimension 2: Decision Impact Risk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Assesses the consequences of AI-driven or AI-influenced decisions on individuals and the organization.</w:t>
      </w:r>
    </w:p>
    <w:p>
      <w:pPr>
        <w:spacing w:after="12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2.1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What decisions does the AI system make or directly influence?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Productivity assistance only — no decisions affecting individuals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Influences business decisions (resource allocation, prioritization, forecasting)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Directly affects individual outcomes (employment, credit, healthcare, legal)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2.2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Can affected individuals contest or appeal AI-influenced decisions?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Clear contestation mechanism with human review guaranteed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Informal review process exists but is not systematically documented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mechanism for appeal or contestation of AI-influenced decisions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2.3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What is the blast radius if the system produces an incorrect output?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Minimal impact — easily caught and corrected, no downstream dependencies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Moderate impact — affects a team or business process; reversible within days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Significant impact — affects customers, revenue, compliance, or safety; difficult to reverse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2.4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Is the AI system used in a context regulated by employment, financial, healthcare, or civil rights law?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regulated context — internal productivity or operational optimization only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Adjacent to regulated context with existing compliance controls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Directly operates in a regulated decision domain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2.5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the system's output become an input to other automated systems?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Terminal output — consumed by humans only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Feeds one downstream system with human validation checkpoint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Feeds multiple downstream systems or triggers automated actions without human review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DIMENSION 2 SUBTOTAL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_____ / 15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Dimension 3: Technical Complexity Risk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Measures the technical difficulty of maintaining, monitoring, and explaining the AI system.</w:t>
      </w:r>
    </w:p>
    <w:p>
      <w:pPr>
        <w:spacing w:after="12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3.1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How explainable are the system's outputs to non-technical stakeholders?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Fully explainable — rule-based or simple model with clear decision logic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Partially explainable — uses interpretable ML with feature importance available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Black-box model with limited interpretability; explanations are post-hoc approximations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3.2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What is the system's dependency on third-party models or APIs?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Fully in-house — no external model dependencies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Uses third-party components with documented SLAs and fallback options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Critical dependency on external models/APIs with limited visibility into their behavior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3.3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How mature is the system's monitoring and observability?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Comprehensive monitoring: performance, drift, fairness, cost — with automated alerting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Basic performance monitoring; drift detection planned but not deployed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systematic monitoring; issues discovered through user complaints or downstream failures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3.4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What is the expected rate of model or system updates?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Stable system — annual or semi-annual updates with structured release process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Quarterly updates with some testing and validation procedures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Frequent updates (weekly+) with limited regression testing or validation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3.5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the system operate autonomously or with human-in-the-loop oversight?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Human-in-the-loop for all significant outputs; AI assists but doesn't decide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Human-on-the-loop — reviews exceptions and random samples; AI handles routine cases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Fully autonomous operation with minimal human oversight in production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DIMENSION 3 SUBTOTAL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_____ / 15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Dimension 4: Organizational Readiness Risk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Evaluates the organization's capacity to govern, support, and sustain the AI system responsibly.</w:t>
      </w:r>
    </w:p>
    <w:p>
      <w:pPr>
        <w:spacing w:after="12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4.1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the team deploying this system have documented AI/ML expertise?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Dedicated AI/ML team with documented skills, training programs, and knowledge management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Team has some ML experience; upskilling underway but gaps remain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dedicated AI expertise; dependent on vendor or contractor knowledge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4.2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Are roles and responsibilities for AI governance clearly defined?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Formal RACI with named individuals; governance roles embedded in job descriptions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Informal role assignment; governance is a part-time responsibility for existing staff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defined governance roles; AI oversight is ad hoc or absent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4.3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a documented incident response plan exist for AI system failures?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Documented plan with defined triggers, escalation paths, communication templates, and tested procedures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Generic incident response exists; AI-specific procedures being developed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incident response plan covering AI-specific failure modes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4.4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How is institutional knowledge about this AI system preserved?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Living documentation (model cards, runbooks, architecture docs) maintained by the team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Initial documentation exists but is not systematically updated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Knowledge resides with one or two individuals; no formal documentation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4.5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leadership understand and actively sponsor the AI governance framework?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Executive sponsor with budget authority; governance KPIs reported to leadership regularly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Leadership is aware and supportive but not actively involved in governance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executive sponsorship; governance perceived as overhead rather than enabler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DIMENSION 4 SUBTOTAL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_____ / 15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Dimension 5: Regulatory &amp; Compliance Risk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Assesses exposure to regulatory requirements and the maturity of compliance preparation.</w:t>
      </w:r>
    </w:p>
    <w:p>
      <w:pPr>
        <w:spacing w:after="12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5.1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the AI system fall under EU AI Act high-risk classification or equivalent regulation?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Minimal risk — no sector-specific AI regulation applies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Limited risk with transparency obligations, or operates in a sector with emerging AI guidance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High-risk classification under EU AI Act, or subject to sector-specific AI regulation (healthcare, finance, employment)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5.2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Can the organization produce technical documentation per Annex IV requirements?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Systematic documentation process aligned with Annex IV; model cards, risk assessments, and testing evidence maintained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Partial documentation exists; gaps identified but not yet remediated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structured documentation process for AI systems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5.3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How is bias and fairness testing documented and tracked?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Formal bias testing protocol with documented metrics, thresholds, and remediation procedures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Some bias testing performed; documentation is inconsistent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systematic bias testing or fairness evaluation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5.4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Does the system comply with applicable data protection regulations (GDPR, CCPA, HIPAA)?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 compliance documented with DPIAs, consent mechanisms, and regular audits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Compliance processes in place for some regulations; gaps in documentation or audit coverage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Compliance status unknown or unaddressed for applicable regulations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Question 5.5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Is there a process for monitoring regulatory changes that affect this AI system?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360"/>
        <w:gridCol w:w="1200"/>
      </w:tblGrid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Dedicated regulatory monitoring with impact assessment process and update triggers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Ad hoc awareness of regulatory changes; no formal monitoring process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 regulatory change monitoring; compliance posture is static</w:t>
            </w:r>
          </w:p>
        </w:tc>
        <w:tc>
          <w:tcPr>
            <w:tcW w:type="dxa" w:w="1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Notes / Evidence: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5D0C8" w:sz="1" w:space="1"/>
        </w:pBdr>
        <w:spacing w:after="20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DIMENSION 5 SUBTOTAL</w:t>
            </w:r>
          </w:p>
        </w:tc>
        <w:tc>
          <w:tcPr>
            <w:tcW w:type="dxa" w:w="1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_____ / 15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Scoring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Flag?</w:t>
            </w:r>
          </w:p>
        </w:tc>
      </w:tr>
      <w:tr>
        <w:tc>
          <w:tcPr>
            <w:tcW w:type="dxa" w:w="5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1. Data &amp; Privacy Risk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_____ / 15</w:t>
            </w:r>
          </w:p>
        </w:tc>
        <w:tc>
          <w:tcPr>
            <w:tcW w:type="dxa" w:w="28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[Auto-flag if ≥ 13]</w:t>
            </w:r>
          </w:p>
        </w:tc>
      </w:tr>
      <w:tr>
        <w:tc>
          <w:tcPr>
            <w:tcW w:type="dxa" w:w="5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2. Decision Impact Risk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_____ / 15</w:t>
            </w:r>
          </w:p>
        </w:tc>
        <w:tc>
          <w:tcPr>
            <w:tcW w:type="dxa" w:w="28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[Auto-flag if ≥ 13]</w:t>
            </w:r>
          </w:p>
        </w:tc>
      </w:tr>
      <w:tr>
        <w:tc>
          <w:tcPr>
            <w:tcW w:type="dxa" w:w="5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3. Technical Complexity Risk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_____ / 15</w:t>
            </w:r>
          </w:p>
        </w:tc>
        <w:tc>
          <w:tcPr>
            <w:tcW w:type="dxa" w:w="28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[Auto-flag if ≥ 13]</w:t>
            </w:r>
          </w:p>
        </w:tc>
      </w:tr>
      <w:tr>
        <w:tc>
          <w:tcPr>
            <w:tcW w:type="dxa" w:w="5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4. Organizational Readiness Risk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_____ / 15</w:t>
            </w:r>
          </w:p>
        </w:tc>
        <w:tc>
          <w:tcPr>
            <w:tcW w:type="dxa" w:w="28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[Auto-flag if ≥ 13]</w:t>
            </w:r>
          </w:p>
        </w:tc>
      </w:tr>
      <w:tr>
        <w:tc>
          <w:tcPr>
            <w:tcW w:type="dxa" w:w="5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5. Regulatory &amp; Compliance Risk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_____ / 15</w:t>
            </w:r>
          </w:p>
        </w:tc>
        <w:tc>
          <w:tcPr>
            <w:tcW w:type="dxa" w:w="28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[Auto-flag if ≥ 13]</w:t>
            </w:r>
          </w:p>
        </w:tc>
      </w:tr>
      <w:tr>
        <w:tc>
          <w:tcPr>
            <w:tcW w:type="dxa" w:w="5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15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_____ / 75</w:t>
            </w:r>
          </w:p>
        </w:tc>
        <w:tc>
          <w:tcPr>
            <w:tcW w:type="dxa" w:w="28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4F1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Risk Classification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Overall Risk Tier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 LOW   □ MEDIUM   □ HIGH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Assigned Governance Lane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 Express   □ Standard   □ Strategic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Dimension Flags (any ≥ 13)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[List flagged dimensions]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Reviewer Name &amp; Date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560"/>
                <w:sz w:val="18"/>
                <w:szCs w:val="18"/>
              </w:rPr>
              <w:t xml:space="preserve">[Reviewer signature / date]</w:t>
            </w:r>
          </w:p>
        </w:tc>
      </w:tr>
      <w:tr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Reviewer Concurrence</w:t>
            </w:r>
          </w:p>
        </w:tc>
        <w:tc>
          <w:tcPr>
            <w:tcW w:type="dxa" w:w="468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□ Agree with classification   □ Override (document rationale below)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Override Rationale (if applicable):</w:t>
      </w:r>
    </w:p>
    <w:p>
      <w:pPr>
        <w:pBdr>
          <w:bottom w:val="single" w:color="D5D0C8" w:sz="1" w:space="1"/>
        </w:pBdr>
        <w:spacing w:after="200"/>
      </w:pPr>
    </w:p>
    <w:p>
      <w:pPr>
        <w:pBdr>
          <w:bottom w:val="single" w:color="D5D0C8" w:sz="1" w:space="1"/>
        </w:pBdr>
        <w:spacing w:after="200"/>
      </w:pPr>
    </w:p>
    <w:p>
      <w:pPr>
        <w:pBdr>
          <w:bottom w:val="single" w:color="D5D0C8" w:sz="1" w:space="1"/>
        </w:pBdr>
        <w:spacing w:after="20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© 2026 Gordon Chan / Creative Precision. All rights reserved. Unauthorized reproduction or distribution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B7355"/>
        <w:sz w:val="14"/>
        <w:szCs w:val="14"/>
      </w:rPr>
      <w:t xml:space="preserve">CREATIVE PRECISION</w:t>
    </w:r>
    <w:r>
      <w:rPr>
        <w:rFonts w:ascii="Arial" w:cs="Arial" w:eastAsia="Arial" w:hAnsi="Arial"/>
        <w:color w:val="6B6560"/>
        <w:sz w:val="14"/>
        <w:szCs w:val="14"/>
      </w:rPr>
      <w:t xml:space="preserve">  |  Risk &amp; Routing Toolkit  |  LICENSED MATERIAL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A25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A25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2026-02-24T15:13:23.938Z</dcterms:created>
  <dcterms:modified xsi:type="dcterms:W3CDTF">2026-02-24T15:13:23.940Z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