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2A2520"/>
          <w:sz w:val="40"/>
          <w:szCs w:val="40"/>
        </w:rPr>
        <w:t xml:space="preserve">Model Card</w:t>
      </w:r>
    </w:p>
    <w:p>
      <w:pPr>
        <w:pBdr>
          <w:bottom w:val="single" w:color="8B7355" w:sz="6" w:space="8"/>
        </w:pBdr>
        <w:spacing w:after="200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GenAI / Foundation Model Extension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HOW TO USE: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Use this template for LLM-based systems, RAG applications, chatbots, copilots, and any deployment built on foundation models. Complete this IN ADDITION to the Standard Model Card for sections that require GenAI-specific documentation. This extension covers the unique aspects of generative AI that standard ML model cards don’t address.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1. Foundation Model Details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Foundation Model: [GPT-4o / Claude / Gemini / Llama / Mistral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Model Provider: [OpenAI / Anthropic / Google / Meta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Model Version: [Specific version/checkpoint]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Access Method: [API / Self-hosted / Fine-tuned]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Hosting Location: [Provider cloud / Your cloud / On-premises]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Processing Agreement: [Yes/No — reference document]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Training Data Cutoff: [Date or ‘Unknown’]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Does your data train the provider’s model? [Yes / No / Opt-out confirmed]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2. System Prompt &amp; Behavioral Design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Prompt: [Document the full system prompt. Treat this as source code — version-controlled and change-managed.]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Persona/Role Definition: [What role does the AI play in this system?]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Output Constraints: [Format requirements, length limits, style guidelines]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Behavioral Guardrails: [What is the system instructed to refuse or avoid?]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Tone and Register: [Formal / Conversational / Technical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Prompt Last Updated: [Date]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Prompt Change Log: [Summary of recent changes]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3. RAG / Context Architecture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RAG Enabled: [Yes / No]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Document Corpus: [What documents feed the RAG system?]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Corpus Size: [Number of documents / total tokens / storage size]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Embedding Model: [Which model generates embeddings?]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Vector Database: [Pinecone / Weaviate / pgvector / etc.]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Chunking Strategy: [How are documents segmented?]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Retrieval Method: [Semantic search / Hybrid / Re-ranking]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Context Window Usage: [How much context is typically provided?]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Corpus Update Cadence: [How often is the document corpus refreshed?]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Source Attribution: [Does the system cite its sources? How?]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4. Behavioral Testing (Replaces Statistical Accuracy)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Hallucination Testing: [How is hallucination detected and measured?]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Hallucination Rate: [Measured rate on test set, if available]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Refusal Testing: [Does the system appropriately refuse out-of-scope requests?]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Adversarial Testing: [Has the system been tested against prompt injection, jailbreaking?]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Edge Case Testing: [How does the system handle ambiguous, incomplete, or adversarial inputs?]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Output Consistency: [Given the same input, how consistent are outputs?]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Toxicity/Safety Testing: [Has the system been tested for harmful outputs?]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Human Evaluation: [Have subject matter experts reviewed output quality?]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5. Human Oversight Model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Oversight Level: [Human-in-the-loop / Human-on-the-loop / Human-over-the-loop]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What decisions require human review before action? [List specific decision types]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What is the escalation path when the system produces uncertain output?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Who is the accountable human for this system’s outputs?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How quickly can a human intervene if the system produces harmful output?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Is there a kill switch? [Yes / No — describe mechanism]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6. Cost &amp; Usage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Pricing Model: [Per-token / Per-call / Monthly subscription / Self-hosted cost]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Estimated Monthly Cost: [$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Usage Limits: [Rate limits, token limits, concurrent user limits]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Cost Monitoring: [How are costs tracked and who reviews them?]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Cost Alert Threshold: [At what spend level is an alert triggered?]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7. Compliance &amp; Data Handling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Classification of Inputs: [What sensitivity level of data is sent to the model?]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Classification of Outputs: [What sensitivity level of data does the model produce?]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Data Residency: [Where is data processed and stored?]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Logging: [Are inputs and outputs logged? Where? For how long?]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PII in Prompts: [Is PII ever sent to the model? If yes, what controls?]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Audit Trail: [Can every interaction be traced and reviewed?]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Regulatory Considerations: [GDPR / HIPAA / SOX / Industry-specific]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© 2026 Gordon Chan / Creative Precision.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Creative Precision.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7355"/>
        <w:sz w:val="14"/>
        <w:szCs w:val="14"/>
      </w:rPr>
      <w:t xml:space="preserve">CREATIVE PRECISION  |  Model Card — GenAI Extension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Georgia" w:cs="Georgia" w:eastAsia="Georgia" w:hAnsi="Georgia"/>
      <w:b/>
      <w:bCs/>
      <w:color w:val="2A252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Georgia" w:cs="Georgia" w:eastAsia="Georgia" w:hAnsi="Georgia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2026-02-25T14:04:19.777Z</dcterms:created>
  <dcterms:modified xsi:type="dcterms:W3CDTF">2026-02-25T14:04:19.777Z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