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r>
        <w:rPr>
          <w:rFonts w:ascii="Georgia" w:cs="Georgia" w:eastAsia="Georgia" w:hAnsi="Georgia"/>
          <w:b/>
          <w:bCs/>
          <w:color w:val="2A2520"/>
          <w:sz w:val="40"/>
          <w:szCs w:val="40"/>
        </w:rPr>
        <w:t xml:space="preserve">Six Layers of Discipline</w:t>
      </w:r>
    </w:p>
    <w:p>
      <w:pPr>
        <w:spacing w:after="40"/>
      </w:pPr>
      <w:r>
        <w:rPr>
          <w:rFonts w:ascii="Georgia" w:cs="Georgia" w:eastAsia="Georgia" w:hAnsi="Georgia"/>
          <w:color w:val="8B7355"/>
          <w:sz w:val="28"/>
          <w:szCs w:val="28"/>
        </w:rPr>
        <w:t xml:space="preserve">Agentic AI Governance Framework</w:t>
      </w:r>
    </w:p>
    <w:p>
      <w:pPr>
        <w:pBdr>
          <w:bottom w:val="single" w:color="8B7355" w:sz="4" w:space="8"/>
        </w:pBdr>
        <w:spacing w:after="200"/>
      </w:pPr>
    </w:p>
    <w:p>
      <w:pPr>
        <w:spacing w:after="100"/>
      </w:pPr>
      <w:r>
        <w:rPr>
          <w:rFonts w:ascii="Arial" w:cs="Arial" w:eastAsia="Arial" w:hAnsi="Arial"/>
          <w:color w:val="6B6560"/>
          <w:sz w:val="20"/>
          <w:szCs w:val="20"/>
        </w:rPr>
        <w:t xml:space="preserve">A structured framework for governing autonomous AI agents — from intent definition to human oversight. Ensures every agent operates with documented purpose, clear boundaries, and accountable supervision.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0C8" w:sz="1"/>
              <w:left w:val="single" w:color="D5D0C8" w:sz="1"/>
              <w:bottom w:val="single" w:color="D5D0C8" w:sz="1"/>
              <w:right w:val="single" w:color="D5D0C8" w:sz="1"/>
            </w:tcBorders>
            <w:shd w:fill="F9F7F3" w:val="clear"/>
            <w:tcMar>
              <w:top w:type="dxa" w:w="120"/>
              <w:left w:type="dxa" w:w="200"/>
              <w:bottom w:type="dxa" w:w="120"/>
              <w:right w:type="dxa" w:w="200"/>
            </w:tcMar>
          </w:tcPr>
          <w:p>
            <w:pPr>
              <w:spacing w:after="60"/>
            </w:pPr>
            <w:r>
              <w:rPr>
                <w:rFonts w:ascii="Arial" w:cs="Arial" w:eastAsia="Arial" w:hAnsi="Arial"/>
                <w:b/>
                <w:bCs/>
                <w:color w:val="2A2520"/>
                <w:sz w:val="18"/>
                <w:szCs w:val="18"/>
              </w:rPr>
              <w:t xml:space="preserve">WHY THIS FRAMEWORK EXISTS</w:t>
            </w:r>
          </w:p>
          <w:p>
            <w:r>
              <w:rPr>
                <w:rFonts w:ascii="Arial" w:cs="Arial" w:eastAsia="Arial" w:hAnsi="Arial"/>
                <w:color w:val="6B6560"/>
                <w:sz w:val="18"/>
                <w:szCs w:val="18"/>
              </w:rPr>
              <w:t xml:space="preserve">An autonomous agent operating without structured guidance does not produce bad outcomes because of technical failure. It produces bad outcomes because the human guidance layer was never built. The Six Layers of Discipline provide that structure — ensuring every agent has documented intent, operational context, quality examples, explicit guardrails, controlled tool access, and human oversight before it takes action.</w:t>
            </w:r>
          </w:p>
        </w:tc>
      </w:tr>
    </w:tbl>
    <w:p>
      <w:r>
        <w:br w:type="page"/>
      </w:r>
    </w:p>
    <w:p>
      <w:pPr>
        <w:pStyle w:val="Heading1"/>
        <w:spacing w:before="300" w:after="160"/>
      </w:pPr>
      <w:r>
        <w:rPr>
          <w:rFonts w:ascii="Georgia" w:cs="Georgia" w:eastAsia="Georgia" w:hAnsi="Georgia"/>
          <w:b/>
          <w:bCs/>
          <w:color w:val="2A2520"/>
          <w:sz w:val="28"/>
          <w:szCs w:val="28"/>
        </w:rPr>
        <w:t xml:space="preserve">The Six Layers</w:t>
      </w:r>
    </w:p>
    <w:p>
      <w:pPr>
        <w:spacing w:after="100"/>
      </w:pPr>
      <w:r>
        <w:rPr>
          <w:rFonts w:ascii="Arial" w:cs="Arial" w:eastAsia="Arial" w:hAnsi="Arial"/>
          <w:color w:val="6B6560"/>
          <w:sz w:val="20"/>
          <w:szCs w:val="20"/>
        </w:rPr>
        <w:t xml:space="preserve">Every autonomous AI agent must have all six layers defined, documented, and reviewed before deployment. Missing any single layer creates a specific governance failure mode.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580"/>
        <w:gridCol w:w="3580"/>
      </w:tblGrid>
      <w:tr>
        <w:tc>
          <w:tcPr>
            <w:tcW w:type="dxa" w:w="4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8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358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Core Question</w:t>
            </w:r>
          </w:p>
        </w:tc>
        <w:tc>
          <w:tcPr>
            <w:tcW w:type="dxa" w:w="358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Failure If Missing</w:t>
            </w:r>
          </w:p>
        </w:tc>
      </w:tr>
      <w:tr>
        <w:tc>
          <w:tcPr>
            <w:tcW w:type="dxa" w:w="4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center"/>
            </w:pPr>
            <w:r>
              <w:rPr>
                <w:rFonts w:ascii="Arial" w:cs="Arial" w:eastAsia="Arial" w:hAnsi="Arial"/>
                <w:b/>
                <w:bCs/>
                <w:color w:val="2A2520"/>
                <w:sz w:val="18"/>
                <w:szCs w:val="18"/>
              </w:rPr>
              <w:t xml:space="preserve">1</w:t>
            </w:r>
          </w:p>
        </w:tc>
        <w:tc>
          <w:tcPr>
            <w:tcW w:type="dxa" w:w="1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Intent</w:t>
            </w:r>
          </w:p>
        </w:tc>
        <w:tc>
          <w:tcPr>
            <w:tcW w:type="dxa" w:w="35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What outcome is this agent authorized to pursue?</w:t>
            </w:r>
          </w:p>
        </w:tc>
        <w:tc>
          <w:tcPr>
            <w:tcW w:type="dxa" w:w="35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Agent pursues wrong or ambiguous objectives</w:t>
            </w:r>
          </w:p>
        </w:tc>
      </w:tr>
      <w:tr>
        <w:tc>
          <w:tcPr>
            <w:tcW w:type="dxa" w:w="4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center"/>
            </w:pPr>
            <w:r>
              <w:rPr>
                <w:rFonts w:ascii="Arial" w:cs="Arial" w:eastAsia="Arial" w:hAnsi="Arial"/>
                <w:b/>
                <w:bCs/>
                <w:color w:val="2A2520"/>
                <w:sz w:val="18"/>
                <w:szCs w:val="18"/>
              </w:rPr>
              <w:t xml:space="preserve">2</w:t>
            </w:r>
          </w:p>
        </w:tc>
        <w:tc>
          <w:tcPr>
            <w:tcW w:type="dxa" w:w="18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Context</w:t>
            </w:r>
          </w:p>
        </w:tc>
        <w:tc>
          <w:tcPr>
            <w:tcW w:type="dxa" w:w="35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What does the agent know about its operating environment?</w:t>
            </w:r>
          </w:p>
        </w:tc>
        <w:tc>
          <w:tcPr>
            <w:tcW w:type="dxa" w:w="35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Agent makes decisions without organizational awareness</w:t>
            </w:r>
          </w:p>
        </w:tc>
      </w:tr>
      <w:tr>
        <w:tc>
          <w:tcPr>
            <w:tcW w:type="dxa" w:w="4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center"/>
            </w:pPr>
            <w:r>
              <w:rPr>
                <w:rFonts w:ascii="Arial" w:cs="Arial" w:eastAsia="Arial" w:hAnsi="Arial"/>
                <w:b/>
                <w:bCs/>
                <w:color w:val="2A2520"/>
                <w:sz w:val="18"/>
                <w:szCs w:val="18"/>
              </w:rPr>
              <w:t xml:space="preserve">3</w:t>
            </w:r>
          </w:p>
        </w:tc>
        <w:tc>
          <w:tcPr>
            <w:tcW w:type="dxa" w:w="1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Examples</w:t>
            </w:r>
          </w:p>
        </w:tc>
        <w:tc>
          <w:tcPr>
            <w:tcW w:type="dxa" w:w="35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What does good and bad output look like?</w:t>
            </w:r>
          </w:p>
        </w:tc>
        <w:tc>
          <w:tcPr>
            <w:tcW w:type="dxa" w:w="35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Agent has no quality benchmark; output is unpredictable</w:t>
            </w:r>
          </w:p>
        </w:tc>
      </w:tr>
      <w:tr>
        <w:tc>
          <w:tcPr>
            <w:tcW w:type="dxa" w:w="4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center"/>
            </w:pPr>
            <w:r>
              <w:rPr>
                <w:rFonts w:ascii="Arial" w:cs="Arial" w:eastAsia="Arial" w:hAnsi="Arial"/>
                <w:b/>
                <w:bCs/>
                <w:color w:val="2A2520"/>
                <w:sz w:val="18"/>
                <w:szCs w:val="18"/>
              </w:rPr>
              <w:t xml:space="preserve">4</w:t>
            </w:r>
          </w:p>
        </w:tc>
        <w:tc>
          <w:tcPr>
            <w:tcW w:type="dxa" w:w="18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Guardrails</w:t>
            </w:r>
          </w:p>
        </w:tc>
        <w:tc>
          <w:tcPr>
            <w:tcW w:type="dxa" w:w="35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What is the agent prohibited from doing?</w:t>
            </w:r>
          </w:p>
        </w:tc>
        <w:tc>
          <w:tcPr>
            <w:tcW w:type="dxa" w:w="35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Agent takes harmful actions in pursuit of valid objectives</w:t>
            </w:r>
          </w:p>
        </w:tc>
      </w:tr>
      <w:tr>
        <w:tc>
          <w:tcPr>
            <w:tcW w:type="dxa" w:w="4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center"/>
            </w:pPr>
            <w:r>
              <w:rPr>
                <w:rFonts w:ascii="Arial" w:cs="Arial" w:eastAsia="Arial" w:hAnsi="Arial"/>
                <w:b/>
                <w:bCs/>
                <w:color w:val="2A2520"/>
                <w:sz w:val="18"/>
                <w:szCs w:val="18"/>
              </w:rPr>
              <w:t xml:space="preserve">5</w:t>
            </w:r>
          </w:p>
        </w:tc>
        <w:tc>
          <w:tcPr>
            <w:tcW w:type="dxa" w:w="1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Tools</w:t>
            </w:r>
          </w:p>
        </w:tc>
        <w:tc>
          <w:tcPr>
            <w:tcW w:type="dxa" w:w="35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What capabilities does the agent have access to?</w:t>
            </w:r>
          </w:p>
        </w:tc>
        <w:tc>
          <w:tcPr>
            <w:tcW w:type="dxa" w:w="35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Agent uses unauthorized systems or data</w:t>
            </w:r>
          </w:p>
        </w:tc>
      </w:tr>
      <w:tr>
        <w:tc>
          <w:tcPr>
            <w:tcW w:type="dxa" w:w="4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center"/>
            </w:pPr>
            <w:r>
              <w:rPr>
                <w:rFonts w:ascii="Arial" w:cs="Arial" w:eastAsia="Arial" w:hAnsi="Arial"/>
                <w:b/>
                <w:bCs/>
                <w:color w:val="2A2520"/>
                <w:sz w:val="18"/>
                <w:szCs w:val="18"/>
              </w:rPr>
              <w:t xml:space="preserve">6</w:t>
            </w:r>
          </w:p>
        </w:tc>
        <w:tc>
          <w:tcPr>
            <w:tcW w:type="dxa" w:w="18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Judge</w:t>
            </w:r>
          </w:p>
        </w:tc>
        <w:tc>
          <w:tcPr>
            <w:tcW w:type="dxa" w:w="35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Who reviews outputs before they become actions?</w:t>
            </w:r>
          </w:p>
        </w:tc>
        <w:tc>
          <w:tcPr>
            <w:tcW w:type="dxa" w:w="35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No human accountability; errors propagate unchecked</w:t>
            </w:r>
          </w:p>
        </w:tc>
      </w:tr>
    </w:tbl>
    <w:p>
      <w:r>
        <w:br w:type="page"/>
      </w:r>
    </w:p>
    <w:p>
      <w:pPr>
        <w:pStyle w:val="Heading1"/>
        <w:spacing w:before="300" w:after="160"/>
      </w:pPr>
      <w:r>
        <w:rPr>
          <w:rFonts w:ascii="Georgia" w:cs="Georgia" w:eastAsia="Georgia" w:hAnsi="Georgia"/>
          <w:b/>
          <w:bCs/>
          <w:color w:val="2A2520"/>
          <w:sz w:val="28"/>
          <w:szCs w:val="28"/>
        </w:rPr>
        <w:t xml:space="preserve">Layer 1: Intent</w:t>
      </w:r>
    </w:p>
    <w:p>
      <w:pPr>
        <w:spacing w:after="100"/>
      </w:pPr>
      <w:r>
        <w:rPr>
          <w:rFonts w:ascii="Arial" w:cs="Arial" w:eastAsia="Arial" w:hAnsi="Arial"/>
          <w:b/>
          <w:bCs/>
          <w:color w:val="2A2520"/>
          <w:sz w:val="20"/>
          <w:szCs w:val="20"/>
        </w:rPr>
        <w:t xml:space="preserve">Define what outcome this agent is authorized to pursue, specified precisely enough that the agent cannot misinterpret it.</w:t>
      </w:r>
    </w:p>
    <w:p>
      <w:pPr>
        <w:spacing w:after="40"/>
      </w:pPr>
    </w:p>
    <w:p>
      <w:pPr>
        <w:pStyle w:val="Heading2"/>
        <w:spacing w:before="240" w:after="120"/>
      </w:pPr>
      <w:r>
        <w:rPr>
          <w:rFonts w:ascii="Georgia" w:cs="Georgia" w:eastAsia="Georgia" w:hAnsi="Georgia"/>
          <w:b/>
          <w:bCs/>
          <w:color w:val="8B7355"/>
          <w:sz w:val="24"/>
          <w:szCs w:val="24"/>
        </w:rPr>
        <w:t xml:space="preserve">What to Document</w:t>
      </w:r>
    </w:p>
    <w:p>
      <w:pPr>
        <w:pStyle w:val="ListParagraph"/>
        <w:numPr>
          <w:ilvl w:val="0"/>
          <w:numId w:val="2"/>
        </w:numPr>
        <w:spacing w:after="60"/>
      </w:pPr>
      <w:r>
        <w:rPr>
          <w:rFonts w:ascii="Arial" w:cs="Arial" w:eastAsia="Arial" w:hAnsi="Arial"/>
          <w:color w:val="6B6560"/>
          <w:sz w:val="20"/>
          <w:szCs w:val="20"/>
        </w:rPr>
        <w:t xml:space="preserve">Primary objective: One sentence describing the business outcome this agent serves</w:t>
      </w:r>
    </w:p>
    <w:p>
      <w:pPr>
        <w:pStyle w:val="ListParagraph"/>
        <w:numPr>
          <w:ilvl w:val="0"/>
          <w:numId w:val="2"/>
        </w:numPr>
        <w:spacing w:after="60"/>
      </w:pPr>
      <w:r>
        <w:rPr>
          <w:rFonts w:ascii="Arial" w:cs="Arial" w:eastAsia="Arial" w:hAnsi="Arial"/>
          <w:color w:val="6B6560"/>
          <w:sz w:val="20"/>
          <w:szCs w:val="20"/>
        </w:rPr>
        <w:t xml:space="preserve">Success criteria: Measurable indicators that the agent is performing as intended</w:t>
      </w:r>
    </w:p>
    <w:p>
      <w:pPr>
        <w:pStyle w:val="ListParagraph"/>
        <w:numPr>
          <w:ilvl w:val="0"/>
          <w:numId w:val="2"/>
        </w:numPr>
        <w:spacing w:after="60"/>
      </w:pPr>
      <w:r>
        <w:rPr>
          <w:rFonts w:ascii="Arial" w:cs="Arial" w:eastAsia="Arial" w:hAnsi="Arial"/>
          <w:color w:val="6B6560"/>
          <w:sz w:val="20"/>
          <w:szCs w:val="20"/>
        </w:rPr>
        <w:t xml:space="preserve">Scope boundaries: What is explicitly within and outside this agent’s mission</w:t>
      </w:r>
    </w:p>
    <w:p>
      <w:pPr>
        <w:pStyle w:val="ListParagraph"/>
        <w:numPr>
          <w:ilvl w:val="0"/>
          <w:numId w:val="2"/>
        </w:numPr>
        <w:spacing w:after="60"/>
      </w:pPr>
      <w:r>
        <w:rPr>
          <w:rFonts w:ascii="Arial" w:cs="Arial" w:eastAsia="Arial" w:hAnsi="Arial"/>
          <w:color w:val="6B6560"/>
          <w:sz w:val="20"/>
          <w:szCs w:val="20"/>
        </w:rPr>
        <w:t xml:space="preserve">Stakeholders affected: Who is impacted by this agent’s outputs or actions</w:t>
      </w:r>
    </w:p>
    <w:p>
      <w:pPr>
        <w:spacing w:after="40"/>
      </w:pPr>
    </w:p>
    <w:p>
      <w:pPr>
        <w:pStyle w:val="Heading2"/>
        <w:spacing w:before="240" w:after="120"/>
      </w:pPr>
      <w:r>
        <w:rPr>
          <w:rFonts w:ascii="Georgia" w:cs="Georgia" w:eastAsia="Georgia" w:hAnsi="Georgia"/>
          <w:b/>
          <w:bCs/>
          <w:color w:val="8B7355"/>
          <w:sz w:val="24"/>
          <w:szCs w:val="24"/>
        </w:rPr>
        <w:t xml:space="preserve">Governance Failure Without This Layer</w:t>
      </w:r>
    </w:p>
    <w:p>
      <w:pPr>
        <w:spacing w:after="100"/>
      </w:pPr>
      <w:r>
        <w:rPr>
          <w:rFonts w:ascii="Arial" w:cs="Arial" w:eastAsia="Arial" w:hAnsi="Arial"/>
          <w:color w:val="6B6560"/>
          <w:sz w:val="20"/>
          <w:szCs w:val="20"/>
        </w:rPr>
        <w:t xml:space="preserve">Without documented intent, the agent optimizes for whatever objective emerges from its training or prompt, which may not align with organizational priorities. A scheduling agent without clear intent might optimize for utilization rate when the organization needs it to optimize for employee satisfaction.</w:t>
      </w:r>
    </w:p>
    <w:p>
      <w:pPr>
        <w:spacing w:after="40"/>
      </w:pPr>
    </w:p>
    <w:p>
      <w:pPr>
        <w:pStyle w:val="Heading2"/>
        <w:spacing w:before="240" w:after="120"/>
      </w:pPr>
      <w:r>
        <w:rPr>
          <w:rFonts w:ascii="Georgia" w:cs="Georgia" w:eastAsia="Georgia" w:hAnsi="Georgia"/>
          <w:b/>
          <w:bCs/>
          <w:color w:val="8B7355"/>
          <w:sz w:val="24"/>
          <w:szCs w:val="24"/>
        </w:rPr>
        <w:t xml:space="preserve">Documentation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Element</w:t>
            </w:r>
          </w:p>
        </w:tc>
        <w:tc>
          <w:tcPr>
            <w:tcW w:type="dxa" w:w="656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Your Agent</w:t>
            </w:r>
          </w:p>
        </w:tc>
      </w:tr>
      <w:tr>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Agent Name</w:t>
            </w:r>
          </w:p>
        </w:tc>
        <w:tc>
          <w:tcPr>
            <w:tcW w:type="dxa" w:w="6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[Name]</w:t>
            </w:r>
          </w:p>
        </w:tc>
      </w:tr>
      <w:tr>
        <w:tc>
          <w:tcPr>
            <w:tcW w:type="dxa" w:w="28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Primary Objective</w:t>
            </w:r>
          </w:p>
        </w:tc>
        <w:tc>
          <w:tcPr>
            <w:tcW w:type="dxa" w:w="6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[One sentence: what business outcome does this agent produce?]</w:t>
            </w:r>
          </w:p>
        </w:tc>
      </w:tr>
      <w:tr>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Success Criteria</w:t>
            </w:r>
          </w:p>
        </w:tc>
        <w:tc>
          <w:tcPr>
            <w:tcW w:type="dxa" w:w="6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[How do you measure whether this agent is working?]</w:t>
            </w:r>
          </w:p>
        </w:tc>
      </w:tr>
      <w:tr>
        <w:tc>
          <w:tcPr>
            <w:tcW w:type="dxa" w:w="28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In Scope</w:t>
            </w:r>
          </w:p>
        </w:tc>
        <w:tc>
          <w:tcPr>
            <w:tcW w:type="dxa" w:w="6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[What actions/decisions is this agent authorized to take?]</w:t>
            </w:r>
          </w:p>
        </w:tc>
      </w:tr>
      <w:tr>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Out of Scope</w:t>
            </w:r>
          </w:p>
        </w:tc>
        <w:tc>
          <w:tcPr>
            <w:tcW w:type="dxa" w:w="6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[What is explicitly NOT part of this agent’s mission?]</w:t>
            </w:r>
          </w:p>
        </w:tc>
      </w:tr>
      <w:tr>
        <w:tc>
          <w:tcPr>
            <w:tcW w:type="dxa" w:w="28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Stakeholders Affected</w:t>
            </w:r>
          </w:p>
        </w:tc>
        <w:tc>
          <w:tcPr>
            <w:tcW w:type="dxa" w:w="6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[Who is impacted by this agent’s outputs?]</w:t>
            </w:r>
          </w:p>
        </w:tc>
      </w:tr>
    </w:tbl>
    <w:p>
      <w:r>
        <w:br w:type="page"/>
      </w:r>
    </w:p>
    <w:p>
      <w:pPr>
        <w:pStyle w:val="Heading1"/>
        <w:spacing w:before="300" w:after="160"/>
      </w:pPr>
      <w:r>
        <w:rPr>
          <w:rFonts w:ascii="Georgia" w:cs="Georgia" w:eastAsia="Georgia" w:hAnsi="Georgia"/>
          <w:b/>
          <w:bCs/>
          <w:color w:val="2A2520"/>
          <w:sz w:val="28"/>
          <w:szCs w:val="28"/>
        </w:rPr>
        <w:t xml:space="preserve">Layer 2: Context</w:t>
      </w:r>
    </w:p>
    <w:p>
      <w:pPr>
        <w:spacing w:after="100"/>
      </w:pPr>
      <w:r>
        <w:rPr>
          <w:rFonts w:ascii="Arial" w:cs="Arial" w:eastAsia="Arial" w:hAnsi="Arial"/>
          <w:b/>
          <w:bCs/>
          <w:color w:val="2A2520"/>
          <w:sz w:val="20"/>
          <w:szCs w:val="20"/>
        </w:rPr>
        <w:t xml:space="preserve">Define what the agent knows about the organizational environment it operates in, and what is off-limits.</w:t>
      </w:r>
    </w:p>
    <w:p>
      <w:pPr>
        <w:spacing w:after="40"/>
      </w:pPr>
    </w:p>
    <w:p>
      <w:pPr>
        <w:pStyle w:val="Heading2"/>
        <w:spacing w:before="240" w:after="120"/>
      </w:pPr>
      <w:r>
        <w:rPr>
          <w:rFonts w:ascii="Georgia" w:cs="Georgia" w:eastAsia="Georgia" w:hAnsi="Georgia"/>
          <w:b/>
          <w:bCs/>
          <w:color w:val="8B7355"/>
          <w:sz w:val="24"/>
          <w:szCs w:val="24"/>
        </w:rPr>
        <w:t xml:space="preserve">What to Document</w:t>
      </w:r>
    </w:p>
    <w:p>
      <w:pPr>
        <w:pStyle w:val="ListParagraph"/>
        <w:numPr>
          <w:ilvl w:val="0"/>
          <w:numId w:val="2"/>
        </w:numPr>
        <w:spacing w:after="60"/>
      </w:pPr>
      <w:r>
        <w:rPr>
          <w:rFonts w:ascii="Arial" w:cs="Arial" w:eastAsia="Arial" w:hAnsi="Arial"/>
          <w:color w:val="6B6560"/>
          <w:sz w:val="20"/>
          <w:szCs w:val="20"/>
        </w:rPr>
        <w:t xml:space="preserve">Organizational context: Company policies, values, brand standards, communication norms</w:t>
      </w:r>
    </w:p>
    <w:p>
      <w:pPr>
        <w:pStyle w:val="ListParagraph"/>
        <w:numPr>
          <w:ilvl w:val="0"/>
          <w:numId w:val="2"/>
        </w:numPr>
        <w:spacing w:after="60"/>
      </w:pPr>
      <w:r>
        <w:rPr>
          <w:rFonts w:ascii="Arial" w:cs="Arial" w:eastAsia="Arial" w:hAnsi="Arial"/>
          <w:color w:val="6B6560"/>
          <w:sz w:val="20"/>
          <w:szCs w:val="20"/>
        </w:rPr>
        <w:t xml:space="preserve">Operational constraints: Business hours, seasonal patterns, regulatory deadlines, SLAs</w:t>
      </w:r>
    </w:p>
    <w:p>
      <w:pPr>
        <w:pStyle w:val="ListParagraph"/>
        <w:numPr>
          <w:ilvl w:val="0"/>
          <w:numId w:val="2"/>
        </w:numPr>
        <w:spacing w:after="60"/>
      </w:pPr>
      <w:r>
        <w:rPr>
          <w:rFonts w:ascii="Arial" w:cs="Arial" w:eastAsia="Arial" w:hAnsi="Arial"/>
          <w:color w:val="6B6560"/>
          <w:sz w:val="20"/>
          <w:szCs w:val="20"/>
        </w:rPr>
        <w:t xml:space="preserve">User context: Who interacts with this agent and what they expect</w:t>
      </w:r>
    </w:p>
    <w:p>
      <w:pPr>
        <w:pStyle w:val="ListParagraph"/>
        <w:numPr>
          <w:ilvl w:val="0"/>
          <w:numId w:val="2"/>
        </w:numPr>
        <w:spacing w:after="60"/>
      </w:pPr>
      <w:r>
        <w:rPr>
          <w:rFonts w:ascii="Arial" w:cs="Arial" w:eastAsia="Arial" w:hAnsi="Arial"/>
          <w:color w:val="6B6560"/>
          <w:sz w:val="20"/>
          <w:szCs w:val="20"/>
        </w:rPr>
        <w:t xml:space="preserve">Data context: What data sources the agent can reference and their freshness/reliability</w:t>
      </w:r>
    </w:p>
    <w:p>
      <w:pPr>
        <w:pStyle w:val="ListParagraph"/>
        <w:numPr>
          <w:ilvl w:val="0"/>
          <w:numId w:val="2"/>
        </w:numPr>
        <w:spacing w:after="60"/>
      </w:pPr>
      <w:r>
        <w:rPr>
          <w:rFonts w:ascii="Arial" w:cs="Arial" w:eastAsia="Arial" w:hAnsi="Arial"/>
          <w:color w:val="6B6560"/>
          <w:sz w:val="20"/>
          <w:szCs w:val="20"/>
        </w:rPr>
        <w:t xml:space="preserve">Restricted context: Information the agent should never reference or reveal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Context Area</w:t>
            </w:r>
          </w:p>
        </w:tc>
        <w:tc>
          <w:tcPr>
            <w:tcW w:type="dxa" w:w="656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Details</w:t>
            </w:r>
          </w:p>
        </w:tc>
      </w:tr>
      <w:tr>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Organizational Policies</w:t>
            </w:r>
          </w:p>
        </w:tc>
        <w:tc>
          <w:tcPr>
            <w:tcW w:type="dxa" w:w="6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[Key policies this agent must comply with]</w:t>
            </w:r>
          </w:p>
        </w:tc>
      </w:tr>
      <w:tr>
        <w:tc>
          <w:tcPr>
            <w:tcW w:type="dxa" w:w="28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Operational Constraints</w:t>
            </w:r>
          </w:p>
        </w:tc>
        <w:tc>
          <w:tcPr>
            <w:tcW w:type="dxa" w:w="6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[Business hours, SLAs, deadlines, capacity limits]</w:t>
            </w:r>
          </w:p>
        </w:tc>
      </w:tr>
      <w:tr>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User Profile</w:t>
            </w:r>
          </w:p>
        </w:tc>
        <w:tc>
          <w:tcPr>
            <w:tcW w:type="dxa" w:w="6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[Who uses this agent? Internal employees / customers / partners?]</w:t>
            </w:r>
          </w:p>
        </w:tc>
      </w:tr>
      <w:tr>
        <w:tc>
          <w:tcPr>
            <w:tcW w:type="dxa" w:w="28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Data Sources Authorized</w:t>
            </w:r>
          </w:p>
        </w:tc>
        <w:tc>
          <w:tcPr>
            <w:tcW w:type="dxa" w:w="6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[List every data source this agent can access]</w:t>
            </w:r>
          </w:p>
        </w:tc>
      </w:tr>
      <w:tr>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Restricted Information</w:t>
            </w:r>
          </w:p>
        </w:tc>
        <w:tc>
          <w:tcPr>
            <w:tcW w:type="dxa" w:w="6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[Information the agent must NEVER reference or output]</w:t>
            </w:r>
          </w:p>
        </w:tc>
      </w:tr>
    </w:tbl>
    <w:p>
      <w:r>
        <w:br w:type="page"/>
      </w:r>
    </w:p>
    <w:p>
      <w:pPr>
        <w:pStyle w:val="Heading1"/>
        <w:spacing w:before="300" w:after="160"/>
      </w:pPr>
      <w:r>
        <w:rPr>
          <w:rFonts w:ascii="Georgia" w:cs="Georgia" w:eastAsia="Georgia" w:hAnsi="Georgia"/>
          <w:b/>
          <w:bCs/>
          <w:color w:val="2A2520"/>
          <w:sz w:val="28"/>
          <w:szCs w:val="28"/>
        </w:rPr>
        <w:t xml:space="preserve">Layer 3: Examples</w:t>
      </w:r>
    </w:p>
    <w:p>
      <w:pPr>
        <w:spacing w:after="100"/>
      </w:pPr>
      <w:r>
        <w:rPr>
          <w:rFonts w:ascii="Arial" w:cs="Arial" w:eastAsia="Arial" w:hAnsi="Arial"/>
          <w:b/>
          <w:bCs/>
          <w:color w:val="2A2520"/>
          <w:sz w:val="20"/>
          <w:szCs w:val="20"/>
        </w:rPr>
        <w:t xml:space="preserve">Define what good output looks like and what bad output looks like, with enough specificity to create a quality benchmark.</w:t>
      </w:r>
    </w:p>
    <w:p>
      <w:pPr>
        <w:spacing w:after="40"/>
      </w:pPr>
    </w:p>
    <w:p>
      <w:pPr>
        <w:pStyle w:val="Heading2"/>
        <w:spacing w:before="240" w:after="120"/>
      </w:pPr>
      <w:r>
        <w:rPr>
          <w:rFonts w:ascii="Georgia" w:cs="Georgia" w:eastAsia="Georgia" w:hAnsi="Georgia"/>
          <w:b/>
          <w:bCs/>
          <w:color w:val="8B7355"/>
          <w:sz w:val="24"/>
          <w:szCs w:val="24"/>
        </w:rPr>
        <w:t xml:space="preserve">What to Document</w:t>
      </w:r>
    </w:p>
    <w:p>
      <w:pPr>
        <w:pStyle w:val="ListParagraph"/>
        <w:numPr>
          <w:ilvl w:val="0"/>
          <w:numId w:val="2"/>
        </w:numPr>
        <w:spacing w:after="60"/>
      </w:pPr>
      <w:r>
        <w:rPr>
          <w:rFonts w:ascii="Arial" w:cs="Arial" w:eastAsia="Arial" w:hAnsi="Arial"/>
          <w:color w:val="6B6560"/>
          <w:sz w:val="20"/>
          <w:szCs w:val="20"/>
        </w:rPr>
        <w:t xml:space="preserve">3–5 examples of GOOD output: Real or realistic examples that meet quality standards</w:t>
      </w:r>
    </w:p>
    <w:p>
      <w:pPr>
        <w:pStyle w:val="ListParagraph"/>
        <w:numPr>
          <w:ilvl w:val="0"/>
          <w:numId w:val="2"/>
        </w:numPr>
        <w:spacing w:after="60"/>
      </w:pPr>
      <w:r>
        <w:rPr>
          <w:rFonts w:ascii="Arial" w:cs="Arial" w:eastAsia="Arial" w:hAnsi="Arial"/>
          <w:color w:val="6B6560"/>
          <w:sz w:val="20"/>
          <w:szCs w:val="20"/>
        </w:rPr>
        <w:t xml:space="preserve">3–5 examples of BAD output: Real or realistic examples of failure modes to avoid</w:t>
      </w:r>
    </w:p>
    <w:p>
      <w:pPr>
        <w:pStyle w:val="ListParagraph"/>
        <w:numPr>
          <w:ilvl w:val="0"/>
          <w:numId w:val="2"/>
        </w:numPr>
        <w:spacing w:after="60"/>
      </w:pPr>
      <w:r>
        <w:rPr>
          <w:rFonts w:ascii="Arial" w:cs="Arial" w:eastAsia="Arial" w:hAnsi="Arial"/>
          <w:color w:val="6B6560"/>
          <w:sz w:val="20"/>
          <w:szCs w:val="20"/>
        </w:rPr>
        <w:t xml:space="preserve">Edge cases: Scenarios where the right answer is ambiguous and what the agent should do</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 Type</w:t>
            </w:r>
          </w:p>
        </w:tc>
        <w:tc>
          <w:tcPr>
            <w:tcW w:type="dxa" w:w="368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w:t>
            </w:r>
          </w:p>
        </w:tc>
        <w:tc>
          <w:tcPr>
            <w:tcW w:type="dxa" w:w="368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Behavior</w:t>
            </w:r>
          </w:p>
        </w:tc>
      </w:tr>
      <w:t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Good Output 1</w:t>
            </w:r>
          </w:p>
        </w:tc>
        <w:tc>
          <w:tcPr>
            <w:tcW w:type="dxa" w:w="36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[Describe the input/scenario]</w:t>
            </w:r>
          </w:p>
        </w:tc>
        <w:tc>
          <w:tcPr>
            <w:tcW w:type="dxa" w:w="36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[What should the agent produce?]</w:t>
            </w:r>
          </w:p>
        </w:tc>
      </w:tr>
      <w:tr>
        <w:tc>
          <w:tcPr>
            <w:tcW w:type="dxa" w:w="20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Good Output 2</w:t>
            </w:r>
          </w:p>
        </w:tc>
        <w:tc>
          <w:tcPr>
            <w:tcW w:type="dxa" w:w="36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[Describe the input/scenario]</w:t>
            </w:r>
          </w:p>
        </w:tc>
        <w:tc>
          <w:tcPr>
            <w:tcW w:type="dxa" w:w="36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[What should the agent produce?]</w:t>
            </w:r>
          </w:p>
        </w:tc>
      </w:tr>
      <w:t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Bad Output 1</w:t>
            </w:r>
          </w:p>
        </w:tc>
        <w:tc>
          <w:tcPr>
            <w:tcW w:type="dxa" w:w="36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[Describe the input/scenario]</w:t>
            </w:r>
          </w:p>
        </w:tc>
        <w:tc>
          <w:tcPr>
            <w:tcW w:type="dxa" w:w="36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[What the agent must NOT do, and why]</w:t>
            </w:r>
          </w:p>
        </w:tc>
      </w:tr>
      <w:tr>
        <w:tc>
          <w:tcPr>
            <w:tcW w:type="dxa" w:w="20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Bad Output 2</w:t>
            </w:r>
          </w:p>
        </w:tc>
        <w:tc>
          <w:tcPr>
            <w:tcW w:type="dxa" w:w="36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[Describe the input/scenario]</w:t>
            </w:r>
          </w:p>
        </w:tc>
        <w:tc>
          <w:tcPr>
            <w:tcW w:type="dxa" w:w="368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[What the agent must NOT do, and why]</w:t>
            </w:r>
          </w:p>
        </w:tc>
      </w:tr>
      <w:tr>
        <w:tc>
          <w:tcPr>
            <w:tcW w:type="dxa" w:w="20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Edge Case 1</w:t>
            </w:r>
          </w:p>
        </w:tc>
        <w:tc>
          <w:tcPr>
            <w:tcW w:type="dxa" w:w="36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[Ambiguous scenario]</w:t>
            </w:r>
          </w:p>
        </w:tc>
        <w:tc>
          <w:tcPr>
            <w:tcW w:type="dxa" w:w="368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[How should the agent handle uncertainty?]</w:t>
            </w:r>
          </w:p>
        </w:tc>
      </w:tr>
    </w:tbl>
    <w:p>
      <w:r>
        <w:br w:type="page"/>
      </w:r>
    </w:p>
    <w:p>
      <w:pPr>
        <w:pStyle w:val="Heading1"/>
        <w:spacing w:before="300" w:after="160"/>
      </w:pPr>
      <w:r>
        <w:rPr>
          <w:rFonts w:ascii="Georgia" w:cs="Georgia" w:eastAsia="Georgia" w:hAnsi="Georgia"/>
          <w:b/>
          <w:bCs/>
          <w:color w:val="2A2520"/>
          <w:sz w:val="28"/>
          <w:szCs w:val="28"/>
        </w:rPr>
        <w:t xml:space="preserve">Layer 4: Guardrails</w:t>
      </w:r>
    </w:p>
    <w:p>
      <w:pPr>
        <w:spacing w:after="100"/>
      </w:pPr>
      <w:r>
        <w:rPr>
          <w:rFonts w:ascii="Arial" w:cs="Arial" w:eastAsia="Arial" w:hAnsi="Arial"/>
          <w:b/>
          <w:bCs/>
          <w:color w:val="2A2520"/>
          <w:sz w:val="20"/>
          <w:szCs w:val="20"/>
        </w:rPr>
        <w:t xml:space="preserve">Define what the agent is prohibited from doing, regardless of how pursuing the intent might seem to require it.</w:t>
      </w:r>
    </w:p>
    <w:p>
      <w:pPr>
        <w:spacing w:after="40"/>
      </w:pPr>
    </w:p>
    <w:p>
      <w:pPr>
        <w:pStyle w:val="Heading2"/>
        <w:spacing w:before="240" w:after="120"/>
      </w:pPr>
      <w:r>
        <w:rPr>
          <w:rFonts w:ascii="Georgia" w:cs="Georgia" w:eastAsia="Georgia" w:hAnsi="Georgia"/>
          <w:b/>
          <w:bCs/>
          <w:color w:val="8B7355"/>
          <w:sz w:val="24"/>
          <w:szCs w:val="24"/>
        </w:rPr>
        <w:t xml:space="preserve">What to Document</w:t>
      </w:r>
    </w:p>
    <w:p>
      <w:pPr>
        <w:pStyle w:val="ListParagraph"/>
        <w:numPr>
          <w:ilvl w:val="0"/>
          <w:numId w:val="2"/>
        </w:numPr>
        <w:spacing w:after="60"/>
      </w:pPr>
      <w:r>
        <w:rPr>
          <w:rFonts w:ascii="Arial" w:cs="Arial" w:eastAsia="Arial" w:hAnsi="Arial"/>
          <w:color w:val="6B6560"/>
          <w:sz w:val="20"/>
          <w:szCs w:val="20"/>
        </w:rPr>
        <w:t xml:space="preserve">Hard prohibitions: Actions the agent must NEVER take under any circumstances</w:t>
      </w:r>
    </w:p>
    <w:p>
      <w:pPr>
        <w:pStyle w:val="ListParagraph"/>
        <w:numPr>
          <w:ilvl w:val="0"/>
          <w:numId w:val="2"/>
        </w:numPr>
        <w:spacing w:after="60"/>
      </w:pPr>
      <w:r>
        <w:rPr>
          <w:rFonts w:ascii="Arial" w:cs="Arial" w:eastAsia="Arial" w:hAnsi="Arial"/>
          <w:color w:val="6B6560"/>
          <w:sz w:val="20"/>
          <w:szCs w:val="20"/>
        </w:rPr>
        <w:t xml:space="preserve">Soft limits: Actions requiring human approval before proceeding</w:t>
      </w:r>
    </w:p>
    <w:p>
      <w:pPr>
        <w:pStyle w:val="ListParagraph"/>
        <w:numPr>
          <w:ilvl w:val="0"/>
          <w:numId w:val="2"/>
        </w:numPr>
        <w:spacing w:after="60"/>
      </w:pPr>
      <w:r>
        <w:rPr>
          <w:rFonts w:ascii="Arial" w:cs="Arial" w:eastAsia="Arial" w:hAnsi="Arial"/>
          <w:color w:val="6B6560"/>
          <w:sz w:val="20"/>
          <w:szCs w:val="20"/>
        </w:rPr>
        <w:t xml:space="preserve">Rate limits: Maximum frequency or volume of autonomous actions</w:t>
      </w:r>
    </w:p>
    <w:p>
      <w:pPr>
        <w:pStyle w:val="ListParagraph"/>
        <w:numPr>
          <w:ilvl w:val="0"/>
          <w:numId w:val="2"/>
        </w:numPr>
        <w:spacing w:after="60"/>
      </w:pPr>
      <w:r>
        <w:rPr>
          <w:rFonts w:ascii="Arial" w:cs="Arial" w:eastAsia="Arial" w:hAnsi="Arial"/>
          <w:color w:val="6B6560"/>
          <w:sz w:val="20"/>
          <w:szCs w:val="20"/>
        </w:rPr>
        <w:t xml:space="preserve">Escalation triggers: Conditions that should pause the agent and notify a human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Guardrail Type</w:t>
            </w:r>
          </w:p>
        </w:tc>
        <w:tc>
          <w:tcPr>
            <w:tcW w:type="dxa" w:w="456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w:t>
            </w:r>
          </w:p>
        </w:tc>
        <w:tc>
          <w:tcPr>
            <w:tcW w:type="dxa" w:w="26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Consequence of Violation</w:t>
            </w:r>
          </w:p>
        </w:tc>
      </w:tr>
      <w:tr>
        <w:tc>
          <w:tcPr>
            <w:tcW w:type="dxa" w:w="22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Hard Prohibition</w:t>
            </w:r>
          </w:p>
        </w:tc>
        <w:tc>
          <w:tcPr>
            <w:tcW w:type="dxa" w:w="4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[Action the agent must NEVER take]</w:t>
            </w:r>
          </w:p>
        </w:tc>
        <w:tc>
          <w:tcPr>
            <w:tcW w:type="dxa" w:w="26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[What happens: halt, alert, rollback?]</w:t>
            </w:r>
          </w:p>
        </w:tc>
      </w:tr>
      <w:tr>
        <w:tc>
          <w:tcPr>
            <w:tcW w:type="dxa" w:w="22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Approval Required</w:t>
            </w:r>
          </w:p>
        </w:tc>
        <w:tc>
          <w:tcPr>
            <w:tcW w:type="dxa" w:w="4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[Action requiring human sign-off before execution]</w:t>
            </w:r>
          </w:p>
        </w:tc>
        <w:tc>
          <w:tcPr>
            <w:tcW w:type="dxa" w:w="26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[Queue for approval; do not proceed]</w:t>
            </w:r>
          </w:p>
        </w:tc>
      </w:tr>
      <w:tr>
        <w:tc>
          <w:tcPr>
            <w:tcW w:type="dxa" w:w="22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Rate Limit</w:t>
            </w:r>
          </w:p>
        </w:tc>
        <w:tc>
          <w:tcPr>
            <w:tcW w:type="dxa" w:w="4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[Max N actions per hour/day/week]</w:t>
            </w:r>
          </w:p>
        </w:tc>
        <w:tc>
          <w:tcPr>
            <w:tcW w:type="dxa" w:w="26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[Pause and alert if exceeded]</w:t>
            </w:r>
          </w:p>
        </w:tc>
      </w:tr>
      <w:tr>
        <w:tc>
          <w:tcPr>
            <w:tcW w:type="dxa" w:w="22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Escalation Trigger</w:t>
            </w:r>
          </w:p>
        </w:tc>
        <w:tc>
          <w:tcPr>
            <w:tcW w:type="dxa" w:w="4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[Condition that should pause the agent]</w:t>
            </w:r>
          </w:p>
        </w:tc>
        <w:tc>
          <w:tcPr>
            <w:tcW w:type="dxa" w:w="26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[Notify [Role]; await instruction]</w:t>
            </w:r>
          </w:p>
        </w:tc>
      </w:tr>
    </w:tbl>
    <w:p>
      <w:r>
        <w:br w:type="page"/>
      </w:r>
    </w:p>
    <w:p>
      <w:pPr>
        <w:pStyle w:val="Heading1"/>
        <w:spacing w:before="300" w:after="160"/>
      </w:pPr>
      <w:r>
        <w:rPr>
          <w:rFonts w:ascii="Georgia" w:cs="Georgia" w:eastAsia="Georgia" w:hAnsi="Georgia"/>
          <w:b/>
          <w:bCs/>
          <w:color w:val="2A2520"/>
          <w:sz w:val="28"/>
          <w:szCs w:val="28"/>
        </w:rPr>
        <w:t xml:space="preserve">Layer 5: Tools</w:t>
      </w:r>
    </w:p>
    <w:p>
      <w:pPr>
        <w:spacing w:after="100"/>
      </w:pPr>
      <w:r>
        <w:rPr>
          <w:rFonts w:ascii="Arial" w:cs="Arial" w:eastAsia="Arial" w:hAnsi="Arial"/>
          <w:b/>
          <w:bCs/>
          <w:color w:val="2A2520"/>
          <w:sz w:val="20"/>
          <w:szCs w:val="20"/>
        </w:rPr>
        <w:t xml:space="preserve">Define what capabilities the agent has access to, and what capabilities it must never use autonomously.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c>
          <w:tcPr>
            <w:tcW w:type="dxa" w:w="24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 / Capability</w:t>
            </w:r>
          </w:p>
        </w:tc>
        <w:tc>
          <w:tcPr>
            <w:tcW w:type="dxa" w:w="16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Access Level</w:t>
            </w:r>
          </w:p>
        </w:tc>
        <w:tc>
          <w:tcPr>
            <w:tcW w:type="dxa" w:w="28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Conditions</w:t>
            </w:r>
          </w:p>
        </w:tc>
        <w:tc>
          <w:tcPr>
            <w:tcW w:type="dxa" w:w="256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Classification</w:t>
            </w:r>
          </w:p>
        </w:tc>
      </w:tr>
      <w:tr>
        <w:tc>
          <w:tcPr>
            <w:tcW w:type="dxa" w:w="24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[Tool/API/System 1]</w:t>
            </w:r>
          </w:p>
        </w:tc>
        <w:tc>
          <w:tcPr>
            <w:tcW w:type="dxa" w:w="16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center"/>
            </w:pPr>
            <w:r>
              <w:rPr>
                <w:rFonts w:ascii="Arial" w:cs="Arial" w:eastAsia="Arial" w:hAnsi="Arial"/>
                <w:b w:val="false"/>
                <w:bCs w:val="false"/>
                <w:color w:val="2A2520"/>
                <w:sz w:val="18"/>
                <w:szCs w:val="18"/>
              </w:rPr>
              <w:t xml:space="preserve">Full autonomous</w:t>
            </w:r>
          </w:p>
        </w:tc>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[When can the agent use this?]</w:t>
            </w:r>
          </w:p>
        </w:tc>
        <w:tc>
          <w:tcPr>
            <w:tcW w:type="dxa" w:w="2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[Public / Internal / Confidential / Restricted]</w:t>
            </w:r>
          </w:p>
        </w:tc>
      </w:tr>
      <w:tr>
        <w:tc>
          <w:tcPr>
            <w:tcW w:type="dxa" w:w="24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[Tool/API/System 2]</w:t>
            </w:r>
          </w:p>
        </w:tc>
        <w:tc>
          <w:tcPr>
            <w:tcW w:type="dxa" w:w="16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center"/>
            </w:pPr>
            <w:r>
              <w:rPr>
                <w:rFonts w:ascii="Arial" w:cs="Arial" w:eastAsia="Arial" w:hAnsi="Arial"/>
                <w:b w:val="false"/>
                <w:bCs w:val="false"/>
                <w:color w:val="2A2520"/>
                <w:sz w:val="18"/>
                <w:szCs w:val="18"/>
              </w:rPr>
              <w:t xml:space="preserve">With approval</w:t>
            </w:r>
          </w:p>
        </w:tc>
        <w:tc>
          <w:tcPr>
            <w:tcW w:type="dxa" w:w="28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[Requires human approval before use]</w:t>
            </w:r>
          </w:p>
        </w:tc>
        <w:tc>
          <w:tcPr>
            <w:tcW w:type="dxa" w:w="2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[Classification]</w:t>
            </w:r>
          </w:p>
        </w:tc>
      </w:tr>
      <w:tr>
        <w:tc>
          <w:tcPr>
            <w:tcW w:type="dxa" w:w="24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[Tool/API/System 3]</w:t>
            </w:r>
          </w:p>
        </w:tc>
        <w:tc>
          <w:tcPr>
            <w:tcW w:type="dxa" w:w="16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center"/>
            </w:pPr>
            <w:r>
              <w:rPr>
                <w:rFonts w:ascii="Arial" w:cs="Arial" w:eastAsia="Arial" w:hAnsi="Arial"/>
                <w:b w:val="false"/>
                <w:bCs w:val="false"/>
                <w:color w:val="2A2520"/>
                <w:sz w:val="18"/>
                <w:szCs w:val="18"/>
              </w:rPr>
              <w:t xml:space="preserve">Read only</w:t>
            </w:r>
          </w:p>
        </w:tc>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[Can query but not modify]</w:t>
            </w:r>
          </w:p>
        </w:tc>
        <w:tc>
          <w:tcPr>
            <w:tcW w:type="dxa" w:w="2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[Classification]</w:t>
            </w:r>
          </w:p>
        </w:tc>
      </w:tr>
      <w:tr>
        <w:tc>
          <w:tcPr>
            <w:tcW w:type="dxa" w:w="24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[Tool/API/System 4]</w:t>
            </w:r>
          </w:p>
        </w:tc>
        <w:tc>
          <w:tcPr>
            <w:tcW w:type="dxa" w:w="16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NEVER</w:t>
            </w:r>
          </w:p>
        </w:tc>
        <w:tc>
          <w:tcPr>
            <w:tcW w:type="dxa" w:w="28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[Explicitly prohibited from accessing]</w:t>
            </w:r>
          </w:p>
        </w:tc>
        <w:tc>
          <w:tcPr>
            <w:tcW w:type="dxa" w:w="2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[Classification]</w:t>
            </w:r>
          </w:p>
        </w:tc>
      </w:tr>
    </w:tbl>
    <w:p>
      <w:r>
        <w:br w:type="page"/>
      </w:r>
    </w:p>
    <w:p>
      <w:pPr>
        <w:pStyle w:val="Heading1"/>
        <w:spacing w:before="300" w:after="160"/>
      </w:pPr>
      <w:r>
        <w:rPr>
          <w:rFonts w:ascii="Georgia" w:cs="Georgia" w:eastAsia="Georgia" w:hAnsi="Georgia"/>
          <w:b/>
          <w:bCs/>
          <w:color w:val="2A2520"/>
          <w:sz w:val="28"/>
          <w:szCs w:val="28"/>
        </w:rPr>
        <w:t xml:space="preserve">Layer 6: Judge</w:t>
      </w:r>
    </w:p>
    <w:p>
      <w:pPr>
        <w:spacing w:after="100"/>
      </w:pPr>
      <w:r>
        <w:rPr>
          <w:rFonts w:ascii="Arial" w:cs="Arial" w:eastAsia="Arial" w:hAnsi="Arial"/>
          <w:b/>
          <w:bCs/>
          <w:color w:val="2A2520"/>
          <w:sz w:val="20"/>
          <w:szCs w:val="20"/>
        </w:rPr>
        <w:t xml:space="preserve">Define who reviews the agent’s outputs before they become actions, at what frequency, and with what escalation path.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Review Element</w:t>
            </w:r>
          </w:p>
        </w:tc>
        <w:tc>
          <w:tcPr>
            <w:tcW w:type="dxa" w:w="656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Details</w:t>
            </w:r>
          </w:p>
        </w:tc>
      </w:tr>
      <w:tr>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Primary Reviewer</w:t>
            </w:r>
          </w:p>
        </w:tc>
        <w:tc>
          <w:tcPr>
            <w:tcW w:type="dxa" w:w="6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[Name/Role responsible for reviewing agent outputs]</w:t>
            </w:r>
          </w:p>
        </w:tc>
      </w:tr>
      <w:tr>
        <w:tc>
          <w:tcPr>
            <w:tcW w:type="dxa" w:w="28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Review Frequency</w:t>
            </w:r>
          </w:p>
        </w:tc>
        <w:tc>
          <w:tcPr>
            <w:tcW w:type="dxa" w:w="6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[Every action / Daily batch / Weekly sample / Exception-only]</w:t>
            </w:r>
          </w:p>
        </w:tc>
      </w:tr>
      <w:tr>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Review Method</w:t>
            </w:r>
          </w:p>
        </w:tc>
        <w:tc>
          <w:tcPr>
            <w:tcW w:type="dxa" w:w="6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[Dashboard monitoring / Queue review / Automated alert + spot check]</w:t>
            </w:r>
          </w:p>
        </w:tc>
      </w:tr>
      <w:tr>
        <w:tc>
          <w:tcPr>
            <w:tcW w:type="dxa" w:w="28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Escalation Path</w:t>
            </w:r>
          </w:p>
        </w:tc>
        <w:tc>
          <w:tcPr>
            <w:tcW w:type="dxa" w:w="6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[If reviewer identifies problem: who do they escalate to?]</w:t>
            </w:r>
          </w:p>
        </w:tc>
      </w:tr>
      <w:tr>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Override Authority</w:t>
            </w:r>
          </w:p>
        </w:tc>
        <w:tc>
          <w:tcPr>
            <w:tcW w:type="dxa" w:w="6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[Who can suspend this agent? Under what conditions?]</w:t>
            </w:r>
          </w:p>
        </w:tc>
      </w:tr>
      <w:tr>
        <w:tc>
          <w:tcPr>
            <w:tcW w:type="dxa" w:w="28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Audit Trail</w:t>
            </w:r>
          </w:p>
        </w:tc>
        <w:tc>
          <w:tcPr>
            <w:tcW w:type="dxa" w:w="65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[Where are agent actions logged? Retention period?]</w:t>
            </w:r>
          </w:p>
        </w:tc>
      </w:tr>
      <w:tr>
        <w:tc>
          <w:tcPr>
            <w:tcW w:type="dxa" w:w="28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Performance Review</w:t>
            </w:r>
          </w:p>
        </w:tc>
        <w:tc>
          <w:tcPr>
            <w:tcW w:type="dxa" w:w="65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8B7355"/>
                <w:sz w:val="18"/>
                <w:szCs w:val="18"/>
              </w:rPr>
              <w:t xml:space="preserve">[Cadence for reviewing agent effectiveness against Layer 1 success criteria]</w:t>
            </w:r>
          </w:p>
        </w:tc>
      </w:tr>
    </w:tbl>
    <w:p>
      <w:r>
        <w:br w:type="page"/>
      </w:r>
    </w:p>
    <w:p>
      <w:pPr>
        <w:pStyle w:val="Heading1"/>
        <w:spacing w:before="300" w:after="160"/>
      </w:pPr>
      <w:r>
        <w:rPr>
          <w:rFonts w:ascii="Georgia" w:cs="Georgia" w:eastAsia="Georgia" w:hAnsi="Georgia"/>
          <w:b/>
          <w:bCs/>
          <w:color w:val="2A2520"/>
          <w:sz w:val="28"/>
          <w:szCs w:val="28"/>
        </w:rPr>
        <w:t xml:space="preserve">Worked Example: Autonomous Scheduling Agent</w:t>
      </w:r>
    </w:p>
    <w:p>
      <w:pPr>
        <w:spacing w:after="100"/>
      </w:pPr>
      <w:r>
        <w:rPr>
          <w:rFonts w:ascii="Arial" w:cs="Arial" w:eastAsia="Arial" w:hAnsi="Arial"/>
          <w:color w:val="6B6560"/>
          <w:sz w:val="20"/>
          <w:szCs w:val="20"/>
        </w:rPr>
        <w:t xml:space="preserve">The following shows all six layers applied to a real use case — an AI agent that autonomously schedules meetings for an executive.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7960"/>
            <w:tcBorders>
              <w:top w:val="single" w:color="D5D0C8" w:sz="1"/>
              <w:left w:val="single" w:color="D5D0C8" w:sz="1"/>
              <w:bottom w:val="single" w:color="D5D0C8" w:sz="1"/>
              <w:right w:val="single" w:color="D5D0C8" w:sz="1"/>
            </w:tcBorders>
            <w:shd w:fill="2A25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Application</w:t>
            </w:r>
          </w:p>
        </w:tc>
      </w:tr>
      <w:tr>
        <w:tc>
          <w:tcPr>
            <w:tcW w:type="dxa" w:w="14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1. Intent</w:t>
            </w:r>
          </w:p>
        </w:tc>
        <w:tc>
          <w:tcPr>
            <w:tcW w:type="dxa" w:w="79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Manage meeting scheduling for the VP of Sales. Success = 90% of scheduling requests resolved without human intervention. In scope: internal meetings, client calls, travel buffer time. Out of scope: board meetings, compensation discussions, legal matters.</w:t>
            </w:r>
          </w:p>
        </w:tc>
      </w:tr>
      <w:tr>
        <w:tc>
          <w:tcPr>
            <w:tcW w:type="dxa" w:w="14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2. Context</w:t>
            </w:r>
          </w:p>
        </w:tc>
        <w:tc>
          <w:tcPr>
            <w:tcW w:type="dxa" w:w="79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Operating hours: 8am–6pm ET. VP prefers 30-min buffers between calls. No meetings before 9am or during Friday afternoons. Client meetings take priority over internal. Authorized calendars: VP’s Google Calendar + team shared calendar. Restricted: no access to HR systems or compensation data.</w:t>
            </w:r>
          </w:p>
        </w:tc>
      </w:tr>
      <w:tr>
        <w:tc>
          <w:tcPr>
            <w:tcW w:type="dxa" w:w="14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3. Examples</w:t>
            </w:r>
          </w:p>
        </w:tc>
        <w:tc>
          <w:tcPr>
            <w:tcW w:type="dxa" w:w="79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GOOD: Client requests Tuesday 2pm, agent checks availability, books the room, sends confirmation with agenda template. BAD: Agent double-books the VP because it prioritized a new request over an existing commitment. EDGE: Two clients request the same slot — agent queues both and asks VP to choose.</w:t>
            </w:r>
          </w:p>
        </w:tc>
      </w:tr>
      <w:tr>
        <w:tc>
          <w:tcPr>
            <w:tcW w:type="dxa" w:w="14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4. Guardrails</w:t>
            </w:r>
          </w:p>
        </w:tc>
        <w:tc>
          <w:tcPr>
            <w:tcW w:type="dxa" w:w="79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NEVER cancel an existing meeting to book a new one. NEVER schedule across time zones without confirming with VP. APPROVAL REQUIRED for: meetings with external parties the VP hasn’t met before, meetings outside business hours, meetings involving 5+ attendees. RATE LIMIT: Max 15 scheduling actions per day.</w:t>
            </w:r>
          </w:p>
        </w:tc>
      </w:tr>
      <w:tr>
        <w:tc>
          <w:tcPr>
            <w:tcW w:type="dxa" w:w="140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5. Tools</w:t>
            </w:r>
          </w:p>
        </w:tc>
        <w:tc>
          <w:tcPr>
            <w:tcW w:type="dxa" w:w="7960"/>
            <w:tcBorders>
              <w:top w:val="single" w:color="D5D0C8" w:sz="1"/>
              <w:left w:val="single" w:color="D5D0C8" w:sz="1"/>
              <w:bottom w:val="single" w:color="D5D0C8" w:sz="1"/>
              <w:right w:val="single" w:color="D5D0C8" w:sz="1"/>
            </w:tcBorders>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FULL ACCESS: Google Calendar (read/write), email (send confirmations only). READ ONLY: CRM (to verify client contacts). WITH APPROVAL: conference room booking system (for rooms seating 10+). NEVER: Slack DMs, financial systems, HR systems.</w:t>
            </w:r>
          </w:p>
        </w:tc>
      </w:tr>
      <w:tr>
        <w:tc>
          <w:tcPr>
            <w:tcW w:type="dxa" w:w="140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bCs/>
                <w:color w:val="2A2520"/>
                <w:sz w:val="18"/>
                <w:szCs w:val="18"/>
              </w:rPr>
              <w:t xml:space="preserve">6. Judge</w:t>
            </w:r>
          </w:p>
        </w:tc>
        <w:tc>
          <w:tcPr>
            <w:tcW w:type="dxa" w:w="7960"/>
            <w:tcBorders>
              <w:top w:val="single" w:color="D5D0C8" w:sz="1"/>
              <w:left w:val="single" w:color="D5D0C8" w:sz="1"/>
              <w:bottom w:val="single" w:color="D5D0C8" w:sz="1"/>
              <w:right w:val="single" w:color="D5D0C8" w:sz="1"/>
            </w:tcBorders>
            <w:shd w:fill="F9F7F3" w:val="clear"/>
            <w:tcMar>
              <w:top w:type="dxa" w:w="80"/>
              <w:left w:type="dxa" w:w="120"/>
              <w:bottom w:type="dxa" w:w="80"/>
              <w:right w:type="dxa" w:w="120"/>
            </w:tcMar>
            <w:vAlign w:val="center"/>
          </w:tcPr>
          <w:p>
            <w:pPr>
              <w:jc w:val="left"/>
            </w:pPr>
            <w:r>
              <w:rPr>
                <w:rFonts w:ascii="Arial" w:cs="Arial" w:eastAsia="Arial" w:hAnsi="Arial"/>
                <w:b w:val="false"/>
                <w:bCs w:val="false"/>
                <w:color w:val="2A2520"/>
                <w:sz w:val="18"/>
                <w:szCs w:val="18"/>
              </w:rPr>
              <w:t xml:space="preserve">VP’s Executive Assistant reviews daily scheduling summary at 8am. Exception alerts sent immediately for: any guardrail trigger, any scheduling conflict, any external party meeting. VP can suspend agent via Slack command. All actions logged in scheduling audit trail (90-day retention). Monthly performance review against 90% autonomy target.</w:t>
            </w:r>
          </w:p>
        </w:tc>
      </w:tr>
    </w:tbl>
    <w:p>
      <w:r>
        <w:br w:type="page"/>
      </w:r>
    </w:p>
    <w:p>
      <w:pPr>
        <w:pStyle w:val="Heading1"/>
        <w:spacing w:before="300" w:after="160"/>
      </w:pPr>
      <w:r>
        <w:rPr>
          <w:rFonts w:ascii="Georgia" w:cs="Georgia" w:eastAsia="Georgia" w:hAnsi="Georgia"/>
          <w:b/>
          <w:bCs/>
          <w:color w:val="2A2520"/>
          <w:sz w:val="28"/>
          <w:szCs w:val="28"/>
        </w:rPr>
        <w:t xml:space="preserve">Integration with Your Governance Framework</w:t>
      </w:r>
    </w:p>
    <w:p>
      <w:pPr>
        <w:spacing w:after="100"/>
      </w:pPr>
      <w:r>
        <w:rPr>
          <w:rFonts w:ascii="Arial" w:cs="Arial" w:eastAsia="Arial" w:hAnsi="Arial"/>
          <w:color w:val="6B6560"/>
          <w:sz w:val="20"/>
          <w:szCs w:val="20"/>
        </w:rPr>
        <w:t xml:space="preserve">The Six Layers of Discipline integrates with the broader governance lifecycle:</w:t>
      </w:r>
    </w:p>
    <w:p>
      <w:pPr>
        <w:spacing w:after="40"/>
      </w:pPr>
    </w:p>
    <w:p>
      <w:pPr>
        <w:spacing w:after="80"/>
      </w:pPr>
      <w:r>
        <w:rPr>
          <w:rFonts w:ascii="Arial" w:cs="Arial" w:eastAsia="Arial" w:hAnsi="Arial"/>
          <w:b/>
          <w:bCs/>
          <w:color w:val="2A2520"/>
          <w:sz w:val="20"/>
          <w:szCs w:val="20"/>
        </w:rPr>
        <w:t xml:space="preserve">Gate 1 (Risk Review): </w:t>
      </w:r>
      <w:r>
        <w:rPr>
          <w:rFonts w:ascii="Arial" w:cs="Arial" w:eastAsia="Arial" w:hAnsi="Arial"/>
          <w:color w:val="6B6560"/>
          <w:sz w:val="20"/>
          <w:szCs w:val="20"/>
        </w:rPr>
        <w:t xml:space="preserve">All six layers must be documented as part of the initiative’s Model Card before proceeding to Gate 2. Agentic systems are automatically classified as Medium or High risk.</w:t>
      </w:r>
    </w:p>
    <w:p>
      <w:pPr>
        <w:spacing w:after="80"/>
      </w:pPr>
      <w:r>
        <w:rPr>
          <w:rFonts w:ascii="Arial" w:cs="Arial" w:eastAsia="Arial" w:hAnsi="Arial"/>
          <w:b/>
          <w:bCs/>
          <w:color w:val="2A2520"/>
          <w:sz w:val="20"/>
          <w:szCs w:val="20"/>
        </w:rPr>
        <w:t xml:space="preserve">Gate 1.5 (Strategic Review): </w:t>
      </w:r>
      <w:r>
        <w:rPr>
          <w:rFonts w:ascii="Arial" w:cs="Arial" w:eastAsia="Arial" w:hAnsi="Arial"/>
          <w:color w:val="6B6560"/>
          <w:sz w:val="20"/>
          <w:szCs w:val="20"/>
        </w:rPr>
        <w:t xml:space="preserve">For High Risk agentic systems, an independent review of all six layers by the Fabric Core, with specific attention to Layer 4 (Guardrails) and Layer 6 (Judge).</w:t>
      </w:r>
    </w:p>
    <w:p>
      <w:pPr>
        <w:spacing w:after="80"/>
      </w:pPr>
      <w:r>
        <w:rPr>
          <w:rFonts w:ascii="Arial" w:cs="Arial" w:eastAsia="Arial" w:hAnsi="Arial"/>
          <w:b/>
          <w:bCs/>
          <w:color w:val="2A2520"/>
          <w:sz w:val="20"/>
          <w:szCs w:val="20"/>
        </w:rPr>
        <w:t xml:space="preserve">Gate 2 (Deployment): </w:t>
      </w:r>
      <w:r>
        <w:rPr>
          <w:rFonts w:ascii="Arial" w:cs="Arial" w:eastAsia="Arial" w:hAnsi="Arial"/>
          <w:color w:val="6B6560"/>
          <w:sz w:val="20"/>
          <w:szCs w:val="20"/>
        </w:rPr>
        <w:t xml:space="preserve">Layer 5 (Tools) access is configured and tested. Layer 6 (Judge) review process is operational. Guardrails are technically enforced, not just documented.</w:t>
      </w:r>
    </w:p>
    <w:p>
      <w:pPr>
        <w:spacing w:after="80"/>
      </w:pPr>
      <w:r>
        <w:rPr>
          <w:rFonts w:ascii="Arial" w:cs="Arial" w:eastAsia="Arial" w:hAnsi="Arial"/>
          <w:b/>
          <w:bCs/>
          <w:color w:val="2A2520"/>
          <w:sz w:val="20"/>
          <w:szCs w:val="20"/>
        </w:rPr>
        <w:t xml:space="preserve">Gate 3 (Ongoing): </w:t>
      </w:r>
      <w:r>
        <w:rPr>
          <w:rFonts w:ascii="Arial" w:cs="Arial" w:eastAsia="Arial" w:hAnsi="Arial"/>
          <w:color w:val="6B6560"/>
          <w:sz w:val="20"/>
          <w:szCs w:val="20"/>
        </w:rPr>
        <w:t xml:space="preserve">Quarterly review of agent performance against Layer 1 success criteria. Annual refresh of all six layers as organizational context and agent capabilities evolve.</w:t>
      </w:r>
    </w:p>
    <w:p>
      <w:pPr>
        <w:spacing w:after="100"/>
      </w:pPr>
    </w:p>
    <w:p>
      <w:pPr>
        <w:spacing w:after="80"/>
      </w:pPr>
      <w:r>
        <w:rPr>
          <w:rFonts w:ascii="Arial" w:cs="Arial" w:eastAsia="Arial" w:hAnsi="Arial"/>
          <w:b/>
          <w:bCs/>
          <w:color w:val="2A2520"/>
          <w:sz w:val="20"/>
          <w:szCs w:val="20"/>
        </w:rPr>
        <w:t xml:space="preserve">NIST AI RMF Alignment: </w:t>
      </w:r>
      <w:r>
        <w:rPr>
          <w:rFonts w:ascii="Arial" w:cs="Arial" w:eastAsia="Arial" w:hAnsi="Arial"/>
          <w:color w:val="6B6560"/>
          <w:sz w:val="20"/>
          <w:szCs w:val="20"/>
        </w:rPr>
        <w:t xml:space="preserve">Maps to GOVERN 1.1 (legal requirements), MAP 1.5 (organizational risk tolerances), MANAGE 1.1 (deployment approval), MANAGE 2.2 (monitoring mechanisms).</w:t>
      </w:r>
    </w:p>
    <w:p>
      <w:pPr>
        <w:spacing w:after="80"/>
      </w:pPr>
      <w:r>
        <w:rPr>
          <w:rFonts w:ascii="Arial" w:cs="Arial" w:eastAsia="Arial" w:hAnsi="Arial"/>
          <w:b/>
          <w:bCs/>
          <w:color w:val="2A2520"/>
          <w:sz w:val="20"/>
          <w:szCs w:val="20"/>
        </w:rPr>
        <w:t xml:space="preserve">ISO 42001 Alignment: </w:t>
      </w:r>
      <w:r>
        <w:rPr>
          <w:rFonts w:ascii="Arial" w:cs="Arial" w:eastAsia="Arial" w:hAnsi="Arial"/>
          <w:color w:val="6B6560"/>
          <w:sz w:val="20"/>
          <w:szCs w:val="20"/>
        </w:rPr>
        <w:t xml:space="preserve">Supports A.6.2.4 (AI system operation), A.6.2.6 (AI system monitoring), A.10.3 (management of changes to AI system).</w:t>
      </w:r>
    </w:p>
    <w:p>
      <w:pPr>
        <w:spacing w:after="80"/>
      </w:pPr>
      <w:r>
        <w:rPr>
          <w:rFonts w:ascii="Arial" w:cs="Arial" w:eastAsia="Arial" w:hAnsi="Arial"/>
          <w:b/>
          <w:bCs/>
          <w:color w:val="2A2520"/>
          <w:sz w:val="20"/>
          <w:szCs w:val="20"/>
        </w:rPr>
        <w:t xml:space="preserve">EU AI Act Alignment: </w:t>
      </w:r>
      <w:r>
        <w:rPr>
          <w:rFonts w:ascii="Arial" w:cs="Arial" w:eastAsia="Arial" w:hAnsi="Arial"/>
          <w:color w:val="6B6560"/>
          <w:sz w:val="20"/>
          <w:szCs w:val="20"/>
        </w:rPr>
        <w:t xml:space="preserve">Supports Article 14 (human oversight), Article 9 (risk management system), Annex IV documentation requirements.</w:t>
      </w:r>
    </w:p>
    <w:p>
      <w:pPr>
        <w:spacing w:after="200"/>
      </w:pPr>
    </w:p>
    <w:p>
      <w:pPr>
        <w:spacing w:after="100"/>
      </w:pPr>
      <w:r>
        <w:rPr>
          <w:rFonts w:ascii="Arial" w:cs="Arial" w:eastAsia="Arial" w:hAnsi="Arial"/>
          <w:color w:val="6B6560"/>
          <w:sz w:val="20"/>
          <w:szCs w:val="20"/>
        </w:rPr>
        <w:t xml:space="preserve">© 2026 Gordon Chan / Creative Precision. All rights reserved.</w:t>
      </w:r>
    </w:p>
    <w:p>
      <w:pPr>
        <w:spacing w:after="100"/>
      </w:pPr>
      <w:r>
        <w:rPr>
          <w:rFonts w:ascii="Arial" w:cs="Arial" w:eastAsia="Arial" w:hAnsi="Arial"/>
          <w:i/>
          <w:iCs/>
          <w:color w:val="6B6560"/>
          <w:sz w:val="20"/>
          <w:szCs w:val="20"/>
        </w:rPr>
        <w:t xml:space="preserve">Licensed for use by the purchasing organization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4"/>
        <w:szCs w:val="14"/>
      </w:rPr>
      <w:t xml:space="preserve">© 2026 Gordon Chan / Creative Precision  |  Licensed for organizational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1" w:space="4"/>
      </w:pBdr>
      <w:jc w:val="right"/>
    </w:pPr>
    <w:r>
      <w:rPr>
        <w:rFonts w:ascii="Arial" w:cs="Arial" w:eastAsia="Arial" w:hAnsi="Arial"/>
        <w:b/>
        <w:bCs/>
        <w:color w:val="8B7355"/>
        <w:sz w:val="14"/>
        <w:szCs w:val="14"/>
      </w:rPr>
      <w:t xml:space="preserve">CREATIVE PRECISION</w:t>
    </w:r>
    <w:r>
      <w:rPr>
        <w:rFonts w:ascii="Arial" w:cs="Arial" w:eastAsia="Arial" w:hAnsi="Arial"/>
        <w:color w:val="6B6560"/>
        <w:sz w:val="14"/>
        <w:szCs w:val="14"/>
      </w:rPr>
      <w:t xml:space="preserve">  |  Agentic AI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Georgia" w:cs="Georgia" w:eastAsia="Georgia" w:hAnsi="Georgia"/>
      <w:b/>
      <w:bCs/>
      <w:color w:val="2A2520"/>
      <w:sz w:val="28"/>
      <w:szCs w:val="28"/>
    </w:rPr>
  </w:style>
  <w:style w:type="paragraph" w:styleId="Heading2">
    <w:name w:val="Heading 2"/>
    <w:basedOn w:val="Normal"/>
    <w:next w:val="Normal"/>
    <w:qFormat/>
    <w:pPr>
      <w:spacing w:before="240" w:after="120"/>
      <w:outlineLvl w:val="1"/>
    </w:pPr>
    <w:rPr>
      <w:rFonts w:ascii="Georgia" w:cs="Georgia" w:eastAsia="Georgia" w:hAnsi="Georgia"/>
      <w:b/>
      <w:bCs/>
      <w:color w:val="8B73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2026-02-26T05:33:00.850Z</dcterms:created>
  <dcterms:modified xsi:type="dcterms:W3CDTF">2026-02-26T05:33:00.851Z</dcterms:modified>
</cp:coreProperties>
</file>

<file path=docProps/custom.xml><?xml version="1.0" encoding="utf-8"?>
<Properties xmlns="http://schemas.openxmlformats.org/officeDocument/2006/custom-properties" xmlns:vt="http://schemas.openxmlformats.org/officeDocument/2006/docPropsVTypes"/>
</file>