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left"/>
      </w:pPr>
      <w:r>
        <w:rPr>
          <w:rFonts w:ascii="Georgia" w:cs="Georgia" w:eastAsia="Georgia" w:hAnsi="Georgia"/>
          <w:b/>
          <w:bCs/>
          <w:color w:val="2A2520"/>
          <w:sz w:val="44"/>
          <w:szCs w:val="44"/>
        </w:rPr>
        <w:t xml:space="preserve">MULTI-SPEED LANE</w:t>
      </w:r>
    </w:p>
    <w:p>
      <w:pPr>
        <w:spacing w:after="40"/>
        <w:jc w:val="left"/>
      </w:pPr>
      <w:r>
        <w:rPr>
          <w:rFonts w:ascii="Georgia" w:cs="Georgia" w:eastAsia="Georgia" w:hAnsi="Georgia"/>
          <w:b/>
          <w:bCs/>
          <w:color w:val="8B7355"/>
          <w:sz w:val="44"/>
          <w:szCs w:val="44"/>
        </w:rPr>
        <w:t xml:space="preserve">DOCUMENTATION</w:t>
      </w:r>
    </w:p>
    <w:p>
      <w:pPr>
        <w:pBdr>
          <w:bottom w:val="single" w:color="8B7355" w:sz="6" w:space="8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Three governance tracks with different review depths — fast for low-risk, thorough for high. One framework, three speeds.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From: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Creative Precision Risk &amp; Routing Toolkit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1.0  |  February 2026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Gordon Chan</w:t>
      </w:r>
    </w:p>
    <w:p>
      <w:pPr>
        <w:spacing w:after="400"/>
      </w:pPr>
    </w:p>
    <w:p>
      <w:pPr>
        <w:spacing w:after="60"/>
      </w:pPr>
      <w:r>
        <w:rPr>
          <w:rFonts w:ascii="Arial" w:cs="Arial" w:eastAsia="Arial" w:hAnsi="Arial"/>
          <w:color w:val="6B6560"/>
          <w:sz w:val="16"/>
          <w:szCs w:val="16"/>
        </w:rPr>
        <w:t xml:space="preserve">© 2026 Gordon Chan / Creative Precision. All rights reserved.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6560"/>
          <w:sz w:val="16"/>
          <w:szCs w:val="16"/>
        </w:rPr>
        <w:t xml:space="preserve">This document is licensed for use by the purchasing organization only. Redistribution, resale, or sharing outside your organization is prohibited.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The Multi-Speed Lane Model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Not every AI system needs the same level of governance. A chatbot helping employees find policy documents doesn’t need the same review as a model approving loan applications. The Multi-Speed Lane model applies proportionate governance — enough oversight to manage risk, not so much that it kills momentum.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Design Principle: “Channel, not control.” The Governance Fabric doesn’t restrict AI adoption. It channels AI through standards that make deployment faster, safer, and more valuable.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Georgia" w:cs="Georgia" w:eastAsia="Georgia" w:hAnsi="Georgia"/>
          <w:b/>
          <w:bCs/>
          <w:color w:val="2A2520"/>
          <w:sz w:val="26"/>
          <w:szCs w:val="26"/>
        </w:rPr>
        <w:t xml:space="preserve">Lane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2A25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4A7C5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 LANE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D4A0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STANDARD LANE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STRATEGIC LANE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Risk Tier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Low (25–37)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017"/>
                <w:sz w:val="18"/>
                <w:szCs w:val="18"/>
              </w:rPr>
              <w:t xml:space="preserve">Medium (38–52)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High (53–75)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Gate Flow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Gate 0 → Gate 2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Gate 0 → 1 → 2 → 3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Gate 0 → 1 → 1.5 → 2 → 3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Review Body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AI Lead only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 governance Node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Fabric Core + executive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Model Card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Minimal: purpose + data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Standard: all core fields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Extended: + bias + ethics + value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Ethics Review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Not required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If flagged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Required (Ethics Contact)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Approval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Node Lead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Node Lead + Risk Liaison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Executive sponsor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Re-assessment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Annual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Semi-annual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Quarterly spot-check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Semi-annual + trigger-based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Continuous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Timeline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1–2 weeks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4–8 weeks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shd w:fill="F9F7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8–16 weeks</w:t>
            </w:r>
          </w:p>
        </w:tc>
      </w:tr>
      <w:tr>
        <w:tc>
          <w:tcPr>
            <w:tcW w:type="dxa" w:w="156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AI Inventory entry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Full Model Card + risk docs</w:t>
            </w:r>
          </w:p>
        </w:tc>
        <w:tc>
          <w:tcPr>
            <w:tcW w:type="dxa" w:w="2600"/>
            <w:tcBorders>
              <w:top w:val="single" w:color="D5D0C8" w:sz="1"/>
              <w:left w:val="single" w:color="D5D0C8" w:sz="1"/>
              <w:bottom w:val="single" w:color="D5D0C8" w:sz="1"/>
              <w:right w:val="single" w:color="D5D0C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A2520"/>
                <w:sz w:val="18"/>
                <w:szCs w:val="18"/>
              </w:rPr>
              <w:t xml:space="preserve">Annex IV compliant package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Express Lane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Risk Tier: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Low Risk (Score: 25–37)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For AI systems with minimal risk exposure. Internal productivity tools, simple analytics, systems with no PII and no individual-level decision impact.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0: Intake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System registered in AI Inventory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Triage auto-classifies risk tier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Minimal Model Card shell created (purpose + data sources only)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Node Lead notified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Inventory registration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0 submission package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tier assignment: LOW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2: Deploy (skip Gate 1)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Lead reviews submission for completeness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Confirm low-risk classification is appropriate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Standard deployment checklist completed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Monitoring hooks established (basic performance metrics)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Deployment sign-off (Node Lead)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Monitoring configuration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Quarterly review schedule set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Ongoing Monitoring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Quarterly performance spot-check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Annual risk re-assessment using the full Risk Assessment Questionnaire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Incident reporting through standard organizational channels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System retirement follows standard decommission process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Lane Escalation Triggers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Score increases above 37 on re-assessment → reclassify to Standard Lane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Incident involving the system → immediate re-assessment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change affecting the system’s domain → re-assessment within 30 days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System scope expands to include PII or decision-making → immediate reclassification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Standard Lane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Risk Tier: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Medium Risk (Score: 38–52)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For AI systems with moderate risk exposure. Customer-facing analytics, business decision support, systems with limited PII or moderate operational impact.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0: Intake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System registered in AI Inventory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Triage auto-classifies risk tier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v0.0 shell created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Assessment Questionnaire completed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Governance Node Lead assigned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Inventory registration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Assessment (scored)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tier assignment: MEDIUM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Governance lane: STANDARD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1: Map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Full governance Node review of intake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Liaison validates AI-pre-scored risk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Data Steward completes Data Readiness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Value Hypothesis documented and locked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v0.1 populated (purpose, scope, data sources, intended users)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Validated Risk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Data Readiness Report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Value Hypothesis (locked)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v0.1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1 Disposition: Approved / Conditions / Rejected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2: Deploy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Technical standards compliance verified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Testing and validation evidence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v1.0 completed (all standard fields)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Human oversight mechanisms confirmed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Deployment plan reviewed and approved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Technical compliance evidence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Testing documentation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v1.0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Deployment approval (Node Lead + Risk Liaison)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3: Sustain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Production monitoring active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Performance against Value Hypothesis tracked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Semi-annual risk re-assessment scheduled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Drift detection baseline established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3 Disposition: Continue / Adjust / Retire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Monitoring dashboard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Value tracking report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3 disposition decision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Re-assessment schedule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Ongoing Monitoring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Semi-annual risk re-assessment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Performance monitoring against Value Hypothesis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Drift detection (if applicable to model type)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Incident reporting with governance Node notification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Trigger-based re-assessment for scope changes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Lane Escalation Triggers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Score increases above 52 on re-assessment → escalate to Strategic Lane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Ethics concern raised by any stakeholder → Gate 1.5 review triggered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change affecting system domain → re-assessment within 30 days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Incident classified as Severity 1 or 2 → immediate re-assessment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Georgia" w:cs="Georgia" w:eastAsia="Georgia" w:hAnsi="Georgia"/>
          <w:b/>
          <w:bCs/>
          <w:color w:val="2A2520"/>
          <w:sz w:val="32"/>
          <w:szCs w:val="32"/>
        </w:rPr>
        <w:t xml:space="preserve">Strategic Lane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Risk Tier: </w:t>
      </w:r>
      <w:r>
        <w:rPr>
          <w:rFonts w:ascii="Arial" w:cs="Arial" w:eastAsia="Arial" w:hAnsi="Arial"/>
          <w:color w:val="6B6560"/>
          <w:sz w:val="20"/>
          <w:szCs w:val="20"/>
        </w:rPr>
        <w:t xml:space="preserve">High Risk (Score: 53–75)</w:t>
      </w:r>
    </w:p>
    <w:p>
      <w:pPr>
        <w:spacing w:after="12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For AI systems with significant risk exposure. Regulated domains (healthcare, finance, employment), systems affecting individual outcomes, high-PII processing, autonomous decision-making.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0: Intake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System registered in AI Inventory with HIGH flag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Triage auto-classifies + alerts Fabric Core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Extended Model Card shell created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Assessment Questionnaire completed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Executive sponsor identified and notified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AI Inventory registration (HIGH flag)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Assessment (scored)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tier: HIGH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Governance lane: STRATEGIC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Executive sponsor acknowledgment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1: Map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Full governance Node review with Fabric Core observer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Risk Liaison conducts comprehensive risk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Data Steward completes extended Data Readiness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Value Hypothesis with ROI projections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Ethics Contact notified and briefed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v0.1 with extended fields populated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Comprehensive Risk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Extended Data Readiness Report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Value Hypothesis with ROI projections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Ethics Contact briefing log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v0.1 (extended)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1 Disposition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1.5: Validate (Strategic Only)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Fabric Core full review convenes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Independent challenge report prepared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Ethics Contact stakeholder impact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compliance assessment (EU AI Act, NIST, ISO alignment)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Human oversight design reviewed and stress-tested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Bias and fairness testing plan established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Fabric Core review minutes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Independent challenge report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Stakeholder Impact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compliance evidence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Human oversight design document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Bias testing plan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1.5 Disposition: Proceed / Redesign / Halt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2: Deploy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Full technical standards compliance with evidence package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Comprehensive testing including bias/fairness evaluation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v1.0 (extended) completed with all Annex IV fields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Human oversight validated in staging environment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Executive sponsor deployment approval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Technical compliance evidence package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Bias/fairness testing results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Model Card v1.0 (extended)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Annex IV documentation package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Executive deployment authorization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Gate 3: Sustain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Actions: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Continuous monitoring active (performance, drift, bias, cost)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Quarterly risk re-assessment scheduled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Value realization tracking against ROI projections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compliance maintained and documented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3 Disposition with executive reporting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A2520"/>
          <w:sz w:val="20"/>
          <w:szCs w:val="20"/>
        </w:rPr>
        <w:t xml:space="preserve">Required Artifacts: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Continuous monitoring dashboard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Quarterly risk re-assessment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Value realization report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compliance log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Gate 3 disposition + executive briefing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Ongoing Monitoring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Continuous monitoring (performance, drift, bias, cost anomalies)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Quarterly risk re-assessment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Executive briefing on system performance and risk posture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compliance monitoring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Incident response with Fabric Core escalation</w:t>
      </w:r>
    </w:p>
    <w:p>
      <w:pPr>
        <w:spacing w:after="80"/>
      </w:pP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7355"/>
          <w:sz w:val="22"/>
          <w:szCs w:val="22"/>
        </w:rPr>
        <w:t xml:space="preserve">Lane Escalation Triggers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Any compliance violation → immediate system review by Fabric Core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Ethics concern → system paused pending Ethics Contact assessment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Regulatory inquiry → Fabric Core convenes within 48 hours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Significant performance degradation → Gate 3 review triggered</w:t>
      </w:r>
    </w:p>
    <w:p>
      <w:pPr>
        <w:spacing w:after="60"/>
        <w:ind w:left="360"/>
      </w:pPr>
      <w:r>
        <w:rPr>
          <w:rFonts w:ascii="Arial" w:cs="Arial" w:eastAsia="Arial" w:hAnsi="Arial"/>
          <w:color w:val="6B6560"/>
          <w:sz w:val="20"/>
          <w:szCs w:val="20"/>
        </w:rPr>
        <w:t xml:space="preserve">• System scope change → full re-assessment required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4"/>
        <w:szCs w:val="14"/>
      </w:rPr>
      <w:t xml:space="preserve">© 2026 Gordon Chan / Creative Precision. All rights reserved. Unauthorized reproduction or distribution prohibited.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8B7355"/>
        <w:sz w:val="14"/>
        <w:szCs w:val="14"/>
      </w:rPr>
      <w:t xml:space="preserve">CREATIVE PRECISION</w:t>
    </w:r>
    <w:r>
      <w:rPr>
        <w:rFonts w:ascii="Arial" w:cs="Arial" w:eastAsia="Arial" w:hAnsi="Arial"/>
        <w:color w:val="6B6560"/>
        <w:sz w:val="14"/>
        <w:szCs w:val="14"/>
      </w:rPr>
      <w:t xml:space="preserve">  |  Risk &amp; Routing Toolkit  |  LICENSED MATERIAL — DO NOT DISTRIBUTE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Georgia" w:cs="Georgia" w:eastAsia="Georgia" w:hAnsi="Georgia"/>
      <w:b/>
      <w:bCs/>
      <w:color w:val="2A25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Georgia" w:cs="Georgia" w:eastAsia="Georgia" w:hAnsi="Georgia"/>
      <w:b/>
      <w:bCs/>
      <w:color w:val="2A25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2026-02-24T15:17:58.417Z</dcterms:created>
  <dcterms:modified xsi:type="dcterms:W3CDTF">2026-02-24T15:17:58.418Z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