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80"/>
      </w:pPr>
      <w:r>
        <w:rPr>
          <w:rFonts w:ascii="Georgia" w:cs="Georgia" w:eastAsia="Georgia" w:hAnsi="Georgia"/>
          <w:b/>
          <w:bCs/>
          <w:color w:val="2A2520"/>
          <w:sz w:val="44"/>
          <w:szCs w:val="44"/>
        </w:rPr>
        <w:t xml:space="preserve">AI USE POLICY</w:t>
      </w:r>
    </w:p>
    <w:p>
      <w:pPr>
        <w:spacing w:after="40"/>
      </w:pPr>
      <w:r>
        <w:rPr>
          <w:rFonts w:ascii="Georgia" w:cs="Georgia" w:eastAsia="Georgia" w:hAnsi="Georgia"/>
          <w:b/>
          <w:bCs/>
          <w:color w:val="8B7355"/>
          <w:sz w:val="44"/>
          <w:szCs w:val="44"/>
        </w:rPr>
        <w:t xml:space="preserve">TEMPLATE</w:t>
      </w:r>
    </w:p>
    <w:p>
      <w:pPr>
        <w:pBdr>
          <w:bottom w:val="single" w:color="8B7355" w:sz="6" w:space="8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Organizational policy template governing acceptable use, prohibited use, and governance requirements for AI systems. Customize the bracketed sections for your organization.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From: </w:t>
      </w:r>
      <w:r>
        <w:rPr>
          <w:rFonts w:ascii="Arial" w:cs="Arial" w:eastAsia="Arial" w:hAnsi="Arial"/>
          <w:color w:val="6B6560"/>
          <w:sz w:val="20"/>
          <w:szCs w:val="20"/>
        </w:rPr>
        <w:t xml:space="preserve">Creative Precision Risk &amp; Routing Toolkit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Version: </w:t>
      </w:r>
      <w:r>
        <w:rPr>
          <w:rFonts w:ascii="Arial" w:cs="Arial" w:eastAsia="Arial" w:hAnsi="Arial"/>
          <w:color w:val="6B6560"/>
          <w:sz w:val="20"/>
          <w:szCs w:val="20"/>
        </w:rPr>
        <w:t xml:space="preserve">1.0  |  February 2026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Author: </w:t>
      </w:r>
      <w:r>
        <w:rPr>
          <w:rFonts w:ascii="Arial" w:cs="Arial" w:eastAsia="Arial" w:hAnsi="Arial"/>
          <w:color w:val="6B6560"/>
          <w:sz w:val="20"/>
          <w:szCs w:val="20"/>
        </w:rPr>
        <w:t xml:space="preserve">Gordon Chan</w:t>
      </w:r>
    </w:p>
    <w:p>
      <w:pPr>
        <w:spacing w:after="400"/>
      </w:pPr>
    </w:p>
    <w:p>
      <w:pPr>
        <w:spacing w:after="60"/>
      </w:pPr>
      <w:r>
        <w:rPr>
          <w:rFonts w:ascii="Arial" w:cs="Arial" w:eastAsia="Arial" w:hAnsi="Arial"/>
          <w:color w:val="6B6560"/>
          <w:sz w:val="16"/>
          <w:szCs w:val="16"/>
        </w:rPr>
        <w:t xml:space="preserve">© 2026 Gordon Chan / Creative Precision. All rights reserved.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6560"/>
          <w:sz w:val="16"/>
          <w:szCs w:val="16"/>
        </w:rPr>
        <w:t xml:space="preserve">Licensed for use by the purchasing organization. Redistribution prohibited. See License Agreement.</w:t>
      </w:r>
    </w:p>
    <w:p>
      <w:r>
        <w:br w:type="page"/>
      </w:r>
    </w:p>
    <w:p>
      <w:pPr>
        <w:shd w:fill="F4F1EB" w:val="clear"/>
        <w:spacing w:after="200"/>
      </w:pPr>
      <w:r>
        <w:rPr>
          <w:rFonts w:ascii="Arial" w:cs="Arial" w:eastAsia="Arial" w:hAnsi="Arial"/>
          <w:b/>
          <w:bCs/>
          <w:color w:val="8B7355"/>
          <w:sz w:val="20"/>
          <w:szCs w:val="20"/>
        </w:rPr>
        <w:t xml:space="preserve">✏️  CUSTOMIZATION GUIDE: </w:t>
      </w:r>
      <w:r>
        <w:rPr>
          <w:rFonts w:ascii="Arial" w:cs="Arial" w:eastAsia="Arial" w:hAnsi="Arial"/>
          <w:color w:val="6B6560"/>
          <w:sz w:val="20"/>
          <w:szCs w:val="20"/>
        </w:rPr>
        <w:t xml:space="preserve">Text in [brackets and italics] should be replaced with your organization’s specific information. All other text can be used as-is or adapted to match your internal policies.</w:t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2A2520"/>
          <w:sz w:val="32"/>
          <w:szCs w:val="32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This policy establishes the standards and expectations for the responsible use of artificial intelligence (AI) systems within [Organization Name]. It applies to all employees, contractors, and third-party partners who develop, deploy, procure, or interact with AI systems in the course of their work.</w:t>
      </w:r>
    </w:p>
    <w:p>
      <w:pPr>
        <w:spacing w:after="12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This policy supports our commitment to using AI as an accelerator for [Organization Name]’s mission while managing the risks inherent in automated and semi-automated decision systems.</w:t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2A2520"/>
          <w:sz w:val="32"/>
          <w:szCs w:val="32"/>
        </w:rPr>
        <w:t xml:space="preserve">2. Scope</w:t>
      </w:r>
    </w:p>
    <w:p>
      <w:pPr>
        <w:spacing w:after="12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This policy applies to: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All AI and machine learning systems developed internally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All third-party AI tools, platforms, and services procured or used by employees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AI features embedded in existing enterprise software (e.g., CRM, ERP, productivity tools)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Generative AI tools (e.g., ChatGPT, Claude, Copilot) used for work purposes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Agentic AI systems that take actions or make decisions with varying degrees of autonomy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This policy does not apply to personal use of AI tools outside of work activities, provided no organizational data is used.</w:t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2A2520"/>
          <w:sz w:val="32"/>
          <w:szCs w:val="32"/>
        </w:rPr>
        <w:t xml:space="preserve">3. AI Principles</w:t>
      </w:r>
    </w:p>
    <w:p>
      <w:pPr>
        <w:spacing w:after="12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[Organization Name] adopts the following principles for all AI use: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Purposeful: </w:t>
      </w:r>
      <w:r>
        <w:rPr>
          <w:rFonts w:ascii="Arial" w:cs="Arial" w:eastAsia="Arial" w:hAnsi="Arial"/>
          <w:color w:val="6B6560"/>
          <w:sz w:val="20"/>
          <w:szCs w:val="20"/>
        </w:rPr>
        <w:t xml:space="preserve">Every AI system must have a clearly documented business purpose and intended outcomes.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Transparent: </w:t>
      </w:r>
      <w:r>
        <w:rPr>
          <w:rFonts w:ascii="Arial" w:cs="Arial" w:eastAsia="Arial" w:hAnsi="Arial"/>
          <w:color w:val="6B6560"/>
          <w:sz w:val="20"/>
          <w:szCs w:val="20"/>
        </w:rPr>
        <w:t xml:space="preserve">AI-driven or AI-influenced decisions must be explainable to affected stakeholders at an appropriate level of detail.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Fair: </w:t>
      </w:r>
      <w:r>
        <w:rPr>
          <w:rFonts w:ascii="Arial" w:cs="Arial" w:eastAsia="Arial" w:hAnsi="Arial"/>
          <w:color w:val="6B6560"/>
          <w:sz w:val="20"/>
          <w:szCs w:val="20"/>
        </w:rPr>
        <w:t xml:space="preserve">AI systems must be designed, tested, and monitored to minimize bias and avoid discrimination against protected groups.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Accountable: </w:t>
      </w:r>
      <w:r>
        <w:rPr>
          <w:rFonts w:ascii="Arial" w:cs="Arial" w:eastAsia="Arial" w:hAnsi="Arial"/>
          <w:color w:val="6B6560"/>
          <w:sz w:val="20"/>
          <w:szCs w:val="20"/>
        </w:rPr>
        <w:t xml:space="preserve">Every AI system has a named human owner responsible for its governance, performance, and compliance.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Secure: </w:t>
      </w:r>
      <w:r>
        <w:rPr>
          <w:rFonts w:ascii="Arial" w:cs="Arial" w:eastAsia="Arial" w:hAnsi="Arial"/>
          <w:color w:val="6B6560"/>
          <w:sz w:val="20"/>
          <w:szCs w:val="20"/>
        </w:rPr>
        <w:t xml:space="preserve">AI systems must meet [Organization Name]’s information security standards and protect the confidentiality, integrity, and availability of data.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Proportionate: </w:t>
      </w:r>
      <w:r>
        <w:rPr>
          <w:rFonts w:ascii="Arial" w:cs="Arial" w:eastAsia="Arial" w:hAnsi="Arial"/>
          <w:color w:val="6B6560"/>
          <w:sz w:val="20"/>
          <w:szCs w:val="20"/>
        </w:rPr>
        <w:t xml:space="preserve">Governance oversight is proportionate to the risk level of the AI system. Channel, not control.</w:t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2A2520"/>
          <w:sz w:val="32"/>
          <w:szCs w:val="32"/>
        </w:rPr>
        <w:t xml:space="preserve">4. Acceptable Use</w:t>
      </w:r>
    </w:p>
    <w:p>
      <w:pPr>
        <w:pStyle w:val="Heading2"/>
        <w:spacing w:before="280" w:after="160"/>
      </w:pPr>
      <w:r>
        <w:rPr>
          <w:rFonts w:ascii="Georgia" w:cs="Georgia" w:eastAsia="Georgia" w:hAnsi="Georgia"/>
          <w:b/>
          <w:bCs/>
          <w:color w:val="2A2520"/>
          <w:sz w:val="26"/>
          <w:szCs w:val="26"/>
        </w:rPr>
        <w:t xml:space="preserve">4.1 Approved Use Cases</w:t>
      </w:r>
    </w:p>
    <w:p>
      <w:pPr>
        <w:spacing w:after="12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The following categories of AI use are generally approved, subject to registration in the AI Inventory and appropriate risk classification: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Internal productivity enhancement (drafting, summarization, research assistance)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Data analysis and visualization for internal decision support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Process automation for repetitive, well-defined tasks with human oversight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Customer service enhancement with human escalation paths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Code generation and development assistance with human code review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Content creation for internal use with human review before publication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Georgia" w:cs="Georgia" w:eastAsia="Georgia" w:hAnsi="Georgia"/>
          <w:b/>
          <w:bCs/>
          <w:color w:val="2A2520"/>
          <w:sz w:val="26"/>
          <w:szCs w:val="26"/>
        </w:rPr>
        <w:t xml:space="preserve">4.2 Conditions for All AI Use</w:t>
      </w:r>
    </w:p>
    <w:p>
      <w:pPr>
        <w:spacing w:after="12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All AI use within [Organization Name] must comply with the following conditions: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Register the AI system or tool in the AI Inventory within [5 business days] of first use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Complete the AI Risk Assessment Questionnaire to determine the appropriate governance lane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Never input confidential, proprietary, or regulated data into external AI tools without approved data handling agreements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Review all AI-generated outputs before use in any business decision, customer communication, or external publication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Report any AI system malfunction, unexpected behavior, or bias concern to [Governance Contact / Helpdesk] within [24 hours]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Comply with the assigned governance lane requirements (Express, Standard, or Strategic)</w:t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2A2520"/>
          <w:sz w:val="32"/>
          <w:szCs w:val="32"/>
        </w:rPr>
        <w:t xml:space="preserve">5. Prohibited Use</w:t>
      </w:r>
    </w:p>
    <w:p>
      <w:pPr>
        <w:spacing w:after="12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The following uses of AI are prohibited at [Organization Name]: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• Autonomous consequential decisions: </w:t>
      </w:r>
      <w:r>
        <w:rPr>
          <w:rFonts w:ascii="Arial" w:cs="Arial" w:eastAsia="Arial" w:hAnsi="Arial"/>
          <w:color w:val="6B6560"/>
          <w:sz w:val="20"/>
          <w:szCs w:val="20"/>
        </w:rPr>
        <w:t xml:space="preserve">AI systems must not make final decisions affecting employment, credit, insurance, healthcare, or legal outcomes without human review and approval.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• Surveillance and monitoring of employees: </w:t>
      </w:r>
      <w:r>
        <w:rPr>
          <w:rFonts w:ascii="Arial" w:cs="Arial" w:eastAsia="Arial" w:hAnsi="Arial"/>
          <w:color w:val="6B6560"/>
          <w:sz w:val="20"/>
          <w:szCs w:val="20"/>
        </w:rPr>
        <w:t xml:space="preserve">AI must not be used for continuous surveillance, keystroke monitoring, emotional analysis, or behavioral scoring of employees without explicit consent and legal authorization.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• Deepfakes and synthetic media: </w:t>
      </w:r>
      <w:r>
        <w:rPr>
          <w:rFonts w:ascii="Arial" w:cs="Arial" w:eastAsia="Arial" w:hAnsi="Arial"/>
          <w:color w:val="6B6560"/>
          <w:sz w:val="20"/>
          <w:szCs w:val="20"/>
        </w:rPr>
        <w:t xml:space="preserve">Creating synthetic media that impersonates real individuals without their explicit consent.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• Circumventing controls: </w:t>
      </w:r>
      <w:r>
        <w:rPr>
          <w:rFonts w:ascii="Arial" w:cs="Arial" w:eastAsia="Arial" w:hAnsi="Arial"/>
          <w:color w:val="6B6560"/>
          <w:sz w:val="20"/>
          <w:szCs w:val="20"/>
        </w:rPr>
        <w:t xml:space="preserve">Using AI to bypass security controls, access restrictions, or governance requirements.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• Protected data in unapproved tools: </w:t>
      </w:r>
      <w:r>
        <w:rPr>
          <w:rFonts w:ascii="Arial" w:cs="Arial" w:eastAsia="Arial" w:hAnsi="Arial"/>
          <w:color w:val="6B6560"/>
          <w:sz w:val="20"/>
          <w:szCs w:val="20"/>
        </w:rPr>
        <w:t xml:space="preserve">Entering PII, PHI, financial data, or trade secrets into AI tools that have not been approved through the vendor assessment process.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• Discriminatory profiling: </w:t>
      </w:r>
      <w:r>
        <w:rPr>
          <w:rFonts w:ascii="Arial" w:cs="Arial" w:eastAsia="Arial" w:hAnsi="Arial"/>
          <w:color w:val="6B6560"/>
          <w:sz w:val="20"/>
          <w:szCs w:val="20"/>
        </w:rPr>
        <w:t xml:space="preserve">Using AI systems to profile, score, or classify individuals based on protected characteristics (race, gender, religion, disability, etc.).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• Unregistered AI systems: </w:t>
      </w:r>
      <w:r>
        <w:rPr>
          <w:rFonts w:ascii="Arial" w:cs="Arial" w:eastAsia="Arial" w:hAnsi="Arial"/>
          <w:color w:val="6B6560"/>
          <w:sz w:val="20"/>
          <w:szCs w:val="20"/>
        </w:rPr>
        <w:t xml:space="preserve">Deploying AI systems in production without registration in the AI Inventory and completion of risk classification.</w:t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2A2520"/>
          <w:sz w:val="32"/>
          <w:szCs w:val="32"/>
        </w:rPr>
        <w:t xml:space="preserve">6. Governance Requirements by Risk Tier</w:t>
      </w:r>
    </w:p>
    <w:p>
      <w:pPr>
        <w:spacing w:after="12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All AI systems are classified into one of three governance lanes based on the AI Risk Assessment Questionnaire score. Requirements escalate with risk: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Express
(Low Risk)</w:t>
            </w:r>
          </w:p>
        </w:tc>
        <w:tc>
          <w:tcPr>
            <w:tcW w:type="dxa" w:w="2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
(Med Risk)</w:t>
            </w:r>
          </w:p>
        </w:tc>
        <w:tc>
          <w:tcPr>
            <w:tcW w:type="dxa" w:w="2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Strategic
(High Risk)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520"/>
                <w:sz w:val="18"/>
                <w:szCs w:val="18"/>
              </w:rPr>
              <w:t xml:space="preserve">AI Inventory Registration</w:t>
            </w:r>
          </w:p>
        </w:tc>
        <w:tc>
          <w:tcPr>
            <w:tcW w:type="dxa" w:w="2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Required</w:t>
            </w:r>
          </w:p>
        </w:tc>
        <w:tc>
          <w:tcPr>
            <w:tcW w:type="dxa" w:w="2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Required</w:t>
            </w:r>
          </w:p>
        </w:tc>
        <w:tc>
          <w:tcPr>
            <w:tcW w:type="dxa" w:w="2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520"/>
                <w:sz w:val="18"/>
                <w:szCs w:val="18"/>
              </w:rPr>
              <w:t xml:space="preserve">Risk Assessment</w:t>
            </w:r>
          </w:p>
        </w:tc>
        <w:tc>
          <w:tcPr>
            <w:tcW w:type="dxa" w:w="2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Required</w:t>
            </w:r>
          </w:p>
        </w:tc>
        <w:tc>
          <w:tcPr>
            <w:tcW w:type="dxa" w:w="2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Required</w:t>
            </w:r>
          </w:p>
        </w:tc>
        <w:tc>
          <w:tcPr>
            <w:tcW w:type="dxa" w:w="2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520"/>
                <w:sz w:val="18"/>
                <w:szCs w:val="18"/>
              </w:rPr>
              <w:t xml:space="preserve">Model Card</w:t>
            </w:r>
          </w:p>
        </w:tc>
        <w:tc>
          <w:tcPr>
            <w:tcW w:type="dxa" w:w="2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Minimal</w:t>
            </w:r>
          </w:p>
        </w:tc>
        <w:tc>
          <w:tcPr>
            <w:tcW w:type="dxa" w:w="2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Standard</w:t>
            </w:r>
          </w:p>
        </w:tc>
        <w:tc>
          <w:tcPr>
            <w:tcW w:type="dxa" w:w="2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Extended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520"/>
                <w:sz w:val="18"/>
                <w:szCs w:val="18"/>
              </w:rPr>
              <w:t xml:space="preserve">Ethics Review</w:t>
            </w:r>
          </w:p>
        </w:tc>
        <w:tc>
          <w:tcPr>
            <w:tcW w:type="dxa" w:w="2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Not required</w:t>
            </w:r>
          </w:p>
        </w:tc>
        <w:tc>
          <w:tcPr>
            <w:tcW w:type="dxa" w:w="2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If flagged</w:t>
            </w:r>
          </w:p>
        </w:tc>
        <w:tc>
          <w:tcPr>
            <w:tcW w:type="dxa" w:w="2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520"/>
                <w:sz w:val="18"/>
                <w:szCs w:val="18"/>
              </w:rPr>
              <w:t xml:space="preserve">Bias Testing</w:t>
            </w:r>
          </w:p>
        </w:tc>
        <w:tc>
          <w:tcPr>
            <w:tcW w:type="dxa" w:w="2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Not required</w:t>
            </w:r>
          </w:p>
        </w:tc>
        <w:tc>
          <w:tcPr>
            <w:tcW w:type="dxa" w:w="2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If applicable</w:t>
            </w:r>
          </w:p>
        </w:tc>
        <w:tc>
          <w:tcPr>
            <w:tcW w:type="dxa" w:w="2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520"/>
                <w:sz w:val="18"/>
                <w:szCs w:val="18"/>
              </w:rPr>
              <w:t xml:space="preserve">Executive Approval</w:t>
            </w:r>
          </w:p>
        </w:tc>
        <w:tc>
          <w:tcPr>
            <w:tcW w:type="dxa" w:w="2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Not required</w:t>
            </w:r>
          </w:p>
        </w:tc>
        <w:tc>
          <w:tcPr>
            <w:tcW w:type="dxa" w:w="2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Not required</w:t>
            </w:r>
          </w:p>
        </w:tc>
        <w:tc>
          <w:tcPr>
            <w:tcW w:type="dxa" w:w="2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520"/>
                <w:sz w:val="18"/>
                <w:szCs w:val="18"/>
              </w:rPr>
              <w:t xml:space="preserve">Continuous Monitoring</w:t>
            </w:r>
          </w:p>
        </w:tc>
        <w:tc>
          <w:tcPr>
            <w:tcW w:type="dxa" w:w="2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Quarterly check</w:t>
            </w:r>
          </w:p>
        </w:tc>
        <w:tc>
          <w:tcPr>
            <w:tcW w:type="dxa" w:w="2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Semi-annual</w:t>
            </w:r>
          </w:p>
        </w:tc>
        <w:tc>
          <w:tcPr>
            <w:tcW w:type="dxa" w:w="2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Continuous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520"/>
                <w:sz w:val="18"/>
                <w:szCs w:val="18"/>
              </w:rPr>
              <w:t xml:space="preserve">Risk Re-assessment</w:t>
            </w:r>
          </w:p>
        </w:tc>
        <w:tc>
          <w:tcPr>
            <w:tcW w:type="dxa" w:w="2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Annual</w:t>
            </w:r>
          </w:p>
        </w:tc>
        <w:tc>
          <w:tcPr>
            <w:tcW w:type="dxa" w:w="2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Semi-annual</w:t>
            </w:r>
          </w:p>
        </w:tc>
        <w:tc>
          <w:tcPr>
            <w:tcW w:type="dxa" w:w="21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Quarterly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2A2520"/>
          <w:sz w:val="32"/>
          <w:szCs w:val="32"/>
        </w:rPr>
        <w:t xml:space="preserve">7. Roles and Responsibilities</w:t>
      </w:r>
    </w:p>
    <w:p>
      <w:pPr>
        <w:spacing w:after="12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Effective AI governance requires clear accountability. The following roles are responsible for implementing this policy: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 To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520"/>
                <w:sz w:val="18"/>
                <w:szCs w:val="18"/>
              </w:rPr>
              <w:t xml:space="preserve">Executive Sponsor</w:t>
            </w:r>
          </w:p>
        </w:tc>
        <w:tc>
          <w:tcPr>
            <w:tcW w:type="dxa" w:w="4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Strategic oversight, budget authority, risk acceptance for Strategic Lane systems</w:t>
            </w:r>
          </w:p>
        </w:tc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B7355"/>
                <w:sz w:val="18"/>
                <w:szCs w:val="18"/>
              </w:rPr>
              <w:t xml:space="preserve">[CTO / CDO / CIO]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520"/>
                <w:sz w:val="18"/>
                <w:szCs w:val="18"/>
              </w:rPr>
              <w:t xml:space="preserve">AI Lead (per BU)</w:t>
            </w:r>
          </w:p>
        </w:tc>
        <w:tc>
          <w:tcPr>
            <w:tcW w:type="dxa" w:w="4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Day-to-day governance, intake triage, Express Lane approvals, Node coordination</w:t>
            </w:r>
          </w:p>
        </w:tc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Governance Node Lead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520"/>
                <w:sz w:val="18"/>
                <w:szCs w:val="18"/>
              </w:rPr>
              <w:t xml:space="preserve">Risk Liaison (per BU)</w:t>
            </w:r>
          </w:p>
        </w:tc>
        <w:tc>
          <w:tcPr>
            <w:tcW w:type="dxa" w:w="4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Risk assessment validation, compliance monitoring, Standard Lane co-approval</w:t>
            </w:r>
          </w:p>
        </w:tc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Risk / Compliance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520"/>
                <w:sz w:val="18"/>
                <w:szCs w:val="18"/>
              </w:rPr>
              <w:t xml:space="preserve">Data Steward (per BU)</w:t>
            </w:r>
          </w:p>
        </w:tc>
        <w:tc>
          <w:tcPr>
            <w:tcW w:type="dxa" w:w="4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Data quality, data readiness assessment, privacy compliance, data documentation</w:t>
            </w:r>
          </w:p>
        </w:tc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Data / Analytics Lead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520"/>
                <w:sz w:val="18"/>
                <w:szCs w:val="18"/>
              </w:rPr>
              <w:t xml:space="preserve">Change Champion (per BU)</w:t>
            </w:r>
          </w:p>
        </w:tc>
        <w:tc>
          <w:tcPr>
            <w:tcW w:type="dxa" w:w="4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Adoption enablement, training coordination, stakeholder communication</w:t>
            </w:r>
          </w:p>
        </w:tc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BU Leadership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520"/>
                <w:sz w:val="18"/>
                <w:szCs w:val="18"/>
              </w:rPr>
              <w:t xml:space="preserve">Ethics Contact</w:t>
            </w:r>
          </w:p>
        </w:tc>
        <w:tc>
          <w:tcPr>
            <w:tcW w:type="dxa" w:w="4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Stakeholder impact assessment, ethical review for Strategic Lane, bias review</w:t>
            </w:r>
          </w:p>
        </w:tc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Fabric Core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520"/>
                <w:sz w:val="18"/>
                <w:szCs w:val="18"/>
              </w:rPr>
              <w:t xml:space="preserve">All Employees</w:t>
            </w:r>
          </w:p>
        </w:tc>
        <w:tc>
          <w:tcPr>
            <w:tcW w:type="dxa" w:w="4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Comply with this policy, register AI tool usage, report concerns, review AI outputs</w:t>
            </w:r>
          </w:p>
        </w:tc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Direct Manager</w:t>
            </w:r>
          </w:p>
        </w:tc>
      </w:tr>
    </w:tbl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2A2520"/>
          <w:sz w:val="32"/>
          <w:szCs w:val="32"/>
        </w:rPr>
        <w:t xml:space="preserve">8. Third-Party AI Tools</w:t>
      </w:r>
    </w:p>
    <w:p>
      <w:pPr>
        <w:spacing w:after="12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Before using any third-party AI tool for work purposes, employees must: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Check whether the tool is on the approved vendor list maintained by [IT / Procurement]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If not approved: submit a vendor assessment request through the AI Inventory registration process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Never use unapproved tools with organizational data, even for experimentation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Understand that free-tier AI tools often use input data for model training — do not input confidential information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The vendor assessment evaluates: data handling practices, AI model transparency, contractual protections, incident response capabilities, and regulatory compliance. See the Vendor &amp; Third-Party AI Assessment template for the full evaluation framework.</w:t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2A2520"/>
          <w:sz w:val="32"/>
          <w:szCs w:val="32"/>
        </w:rPr>
        <w:t xml:space="preserve">9. Incident Reporting</w:t>
      </w:r>
    </w:p>
    <w:p>
      <w:pPr>
        <w:spacing w:after="12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Any employee who observes the following must report to [Governance Contact / Helpdesk] within [24 hours]: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AI system producing biased, discriminatory, or unfair outputs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AI system making incorrect decisions that affect individuals or business operations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Unauthorized use of AI systems with organizational data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Security incidents involving AI systems (data exposure, model manipulation, adversarial attacks)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Performance degradation suggesting model drift or data quality issues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Incidents are classified by severity and routed through the governance lane’s established escalation path. Strategic Lane incidents are escalated to the Fabric Core within [4 hours].</w:t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2A2520"/>
          <w:sz w:val="32"/>
          <w:szCs w:val="32"/>
        </w:rPr>
        <w:t xml:space="preserve">10. Enforcement</w:t>
      </w:r>
    </w:p>
    <w:p>
      <w:pPr>
        <w:spacing w:after="12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Violations of this policy may result in: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Removal of access to AI tools and systems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Mandatory retraining on AI governance requirements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Disciplinary action consistent with [Organization Name]’s code of conduct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For third-party partners: contract review and potential termination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This policy will be reviewed [annually / semi-annually] and updated to reflect changes in technology, regulation, and organizational requirements.</w:t>
      </w:r>
    </w:p>
    <w:p>
      <w:pPr>
        <w:spacing w:after="200"/>
      </w:pPr>
    </w:p>
    <w:p>
      <w:pPr>
        <w:pBdr>
          <w:top w:val="single" w:color="8B7355" w:sz="2" w:space="8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Policy Effective Date: [Date]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Approved By: [Name, Title]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Next Review Date: [Date]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560"/>
        <w:sz w:val="14"/>
        <w:szCs w:val="14"/>
      </w:rPr>
      <w:t xml:space="preserve">© 2026 Gordon Chan / Creative Precision. All rights reserved. Unauthorized reproduction or distribution prohibited.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8B7355"/>
        <w:sz w:val="14"/>
        <w:szCs w:val="14"/>
      </w:rPr>
      <w:t xml:space="preserve">CREATIVE PRECISION</w:t>
    </w:r>
    <w:r>
      <w:rPr>
        <w:rFonts w:ascii="Arial" w:cs="Arial" w:eastAsia="Arial" w:hAnsi="Arial"/>
        <w:color w:val="6B6560"/>
        <w:sz w:val="14"/>
        <w:szCs w:val="14"/>
      </w:rPr>
      <w:t xml:space="preserve">  |  Risk &amp; Routing Toolkit  |  LICENSED MATERIAL — DO NOT DISTRIBUTE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Georgia" w:cs="Georgia" w:eastAsia="Georgia" w:hAnsi="Georgia"/>
      <w:b/>
      <w:bCs/>
      <w:color w:val="2A252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Georgia" w:cs="Georgia" w:eastAsia="Georgia" w:hAnsi="Georgia"/>
      <w:b/>
      <w:bCs/>
      <w:color w:val="2A252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2026-02-24T15:19:28.393Z</dcterms:created>
  <dcterms:modified xsi:type="dcterms:W3CDTF">2026-02-24T15:19:28.393Z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