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r>
        <w:rPr>
          <w:rFonts w:ascii="Georgia" w:cs="Georgia" w:eastAsia="Georgia" w:hAnsi="Georgia"/>
          <w:b/>
          <w:bCs/>
          <w:color w:val="2A2520"/>
          <w:sz w:val="36"/>
          <w:szCs w:val="36"/>
        </w:rPr>
        <w:t xml:space="preserve">AI Center of Excellence Charter</w:t>
      </w:r>
    </w:p>
    <w:p>
      <w:pPr>
        <w:spacing w:after="160"/>
      </w:pPr>
      <w:r>
        <w:rPr>
          <w:rFonts w:ascii="Georgia" w:cs="Georgia" w:eastAsia="Georgia" w:hAnsi="Georgia"/>
          <w:color w:val="8B7355"/>
          <w:sz w:val="22"/>
          <w:szCs w:val="22"/>
        </w:rPr>
        <w:t xml:space="preserve">Fabric Core Composition, Mandate &amp; Operating Model</w:t>
      </w:r>
    </w:p>
    <w:p>
      <w:pPr>
        <w:pBdr>
          <w:bottom w:val="single" w:color="8B7355" w:sz="4" w:space="8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HOW TO USE THIS TEMPLATE</w:t>
            </w:r>
          </w:p>
          <w:p>
            <w:r>
              <w:rPr>
                <w:rFonts w:ascii="Arial" w:cs="Arial" w:eastAsia="Arial" w:hAnsi="Arial"/>
                <w:color w:val="6B6560"/>
                <w:sz w:val="18"/>
                <w:szCs w:val="18"/>
              </w:rPr>
              <w:t xml:space="preserve">Replace all [bracketed text] with your organization’s specific information. Aligned with NIST AI RMF (GOVERN function) and ISO 42001 (A.3 Internal Organization). Customize roles, scope, and cadence to match your organizational structure.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Charter Element</w:t>
            </w:r>
          </w:p>
        </w:tc>
        <w:tc>
          <w:tcPr>
            <w:tcW w:type="dxa" w:w="624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Organization</w:t>
            </w:r>
          </w:p>
        </w:tc>
        <w:tc>
          <w:tcPr>
            <w:tcW w:type="dxa" w:w="624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8"/>
                <w:szCs w:val="18"/>
              </w:rPr>
              <w:t xml:space="preserve">[Your Organization Name]</w:t>
            </w:r>
          </w:p>
        </w:tc>
      </w:tr>
      <w:tr>
        <w:tc>
          <w:tcPr>
            <w:tcW w:type="dxa" w:w="31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Charter Name</w:t>
            </w:r>
          </w:p>
        </w:tc>
        <w:tc>
          <w:tcPr>
            <w:tcW w:type="dxa" w:w="624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8"/>
                <w:szCs w:val="18"/>
              </w:rPr>
              <w:t xml:space="preserve">[AI Center of Excellence / AI Governance Council / Fabric Core]</w:t>
            </w:r>
          </w:p>
        </w:tc>
      </w:tr>
      <w:tr>
        <w:tc>
          <w:tcPr>
            <w:tcW w:type="dxa" w:w="31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624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8"/>
                <w:szCs w:val="18"/>
              </w:rPr>
              <w:t xml:space="preserve">[Date]</w:t>
            </w:r>
          </w:p>
        </w:tc>
      </w:tr>
      <w:tr>
        <w:tc>
          <w:tcPr>
            <w:tcW w:type="dxa" w:w="31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624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8"/>
                <w:szCs w:val="18"/>
              </w:rPr>
              <w:t xml:space="preserve">[Executive Sponsor Name, Title]</w:t>
            </w:r>
          </w:p>
        </w:tc>
      </w:tr>
      <w:tr>
        <w:tc>
          <w:tcPr>
            <w:tcW w:type="dxa" w:w="31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Review Cadence</w:t>
            </w:r>
          </w:p>
        </w:tc>
        <w:tc>
          <w:tcPr>
            <w:tcW w:type="dxa" w:w="624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Annual (or upon significant organizational change)</w:t>
            </w:r>
          </w:p>
        </w:tc>
      </w:tr>
      <w:tr>
        <w:tc>
          <w:tcPr>
            <w:tcW w:type="dxa" w:w="31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1.0</w:t>
            </w:r>
          </w:p>
        </w:tc>
      </w:tr>
    </w:tbl>
    <w:p>
      <w:r>
        <w:br w:type="page"/>
      </w:r>
    </w:p>
    <w:p>
      <w:pPr>
        <w:pStyle w:val="Heading1"/>
        <w:spacing w:before="300" w:after="160"/>
      </w:pPr>
      <w:r>
        <w:rPr>
          <w:rFonts w:ascii="Georgia" w:cs="Georgia" w:eastAsia="Georgia" w:hAnsi="Georgia"/>
          <w:b/>
          <w:bCs/>
          <w:color w:val="2A2520"/>
          <w:sz w:val="28"/>
          <w:szCs w:val="28"/>
        </w:rPr>
        <w:t xml:space="preserve">1. Purpose</w:t>
      </w:r>
    </w:p>
    <w:p>
      <w:pPr>
        <w:spacing w:after="10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The [AI Center of Excellence / Fabric Core] exists to enable responsible, scalable AI adoption across [Organization Name]. It provides the governance infrastructure, technical standards, and organizational coordination required to deploy AI systems that deliver measurable business value while managing risk proportionally.</w:t>
      </w:r>
    </w:p>
    <w:p>
      <w:pPr>
        <w:spacing w:after="10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The Fabric Core does not own AI delivery. Business units own their AI systems. The Fabric Core owns the standards, provides expertise, and ensures consistency.</w:t>
      </w:r>
    </w:p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A2520"/>
          <w:sz w:val="20"/>
          <w:szCs w:val="20"/>
        </w:rPr>
        <w:t xml:space="preserve">Design Principle: Channel, not control. The governance infrastructure enables faster, safer AI deployment — it does not constrain it.</w:t>
      </w:r>
    </w:p>
    <w:p>
      <w:pPr>
        <w:pStyle w:val="Heading1"/>
        <w:spacing w:before="300" w:after="160"/>
      </w:pPr>
      <w:r>
        <w:rPr>
          <w:rFonts w:ascii="Georgia" w:cs="Georgia" w:eastAsia="Georgia" w:hAnsi="Georgia"/>
          <w:b/>
          <w:bCs/>
          <w:color w:val="2A2520"/>
          <w:sz w:val="28"/>
          <w:szCs w:val="28"/>
        </w:rPr>
        <w:t xml:space="preserve">2. Scope</w:t>
      </w:r>
    </w:p>
    <w:p>
      <w:pPr>
        <w:spacing w:after="10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The charter covers all AI and machine learning systems within [Organization Name], including: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Internally developed AI/ML models and applications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Third-party AI tools and SaaS features with AI capabilities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Generative AI tools (chatbots, copilots, content generation)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Embedded AI within existing enterprise software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Agentic AI systems and autonomous workflows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AI-assisted decision-making systems</w:t>
      </w:r>
    </w:p>
    <w:p>
      <w:pPr>
        <w:pStyle w:val="Heading1"/>
        <w:spacing w:before="300" w:after="160"/>
      </w:pPr>
      <w:r>
        <w:rPr>
          <w:rFonts w:ascii="Georgia" w:cs="Georgia" w:eastAsia="Georgia" w:hAnsi="Georgia"/>
          <w:b/>
          <w:bCs/>
          <w:color w:val="2A2520"/>
          <w:sz w:val="28"/>
          <w:szCs w:val="28"/>
        </w:rPr>
        <w:t xml:space="preserve">3. Fabric Core Composition</w:t>
      </w:r>
    </w:p>
    <w:p>
      <w:pPr>
        <w:spacing w:after="10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The Fabric Core is the central governance body. It operates as a cross-functional team, not a committee. Members have standing responsibilities, not just meeting attendance.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5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3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Filled By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Executive Sponsor</w:t>
            </w:r>
          </w:p>
        </w:tc>
        <w:tc>
          <w:tcPr>
            <w:tcW w:type="dxa" w:w="35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Strategic direction, budget authority, escalation resolution, board-level accountability</w:t>
            </w:r>
          </w:p>
        </w:tc>
        <w:tc>
          <w:tcPr>
            <w:tcW w:type="dxa" w:w="3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8"/>
                <w:szCs w:val="18"/>
              </w:rPr>
              <w:t xml:space="preserve">[CTO / CDO / CIO — name]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Governance Lead</w:t>
            </w:r>
          </w:p>
        </w:tc>
        <w:tc>
          <w:tcPr>
            <w:tcW w:type="dxa" w:w="35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Framework maintenance, policy updates, gate process ownership, compliance coordination</w:t>
            </w:r>
          </w:p>
        </w:tc>
        <w:tc>
          <w:tcPr>
            <w:tcW w:type="dxa" w:w="3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8"/>
                <w:szCs w:val="18"/>
              </w:rPr>
              <w:t xml:space="preserve">[Name, Title]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Technical Lead</w:t>
            </w:r>
          </w:p>
        </w:tc>
        <w:tc>
          <w:tcPr>
            <w:tcW w:type="dxa" w:w="35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Technical standards, architecture review, ML lifecycle oversight, model validation</w:t>
            </w:r>
          </w:p>
        </w:tc>
        <w:tc>
          <w:tcPr>
            <w:tcW w:type="dxa" w:w="3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8"/>
                <w:szCs w:val="18"/>
              </w:rPr>
              <w:t xml:space="preserve">[Name, Title]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Risk &amp; Compliance Lead</w:t>
            </w:r>
          </w:p>
        </w:tc>
        <w:tc>
          <w:tcPr>
            <w:tcW w:type="dxa" w:w="35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Regulatory monitoring, risk assessment oversight, audit coordination, compliance reporting</w:t>
            </w:r>
          </w:p>
        </w:tc>
        <w:tc>
          <w:tcPr>
            <w:tcW w:type="dxa" w:w="3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8"/>
                <w:szCs w:val="18"/>
              </w:rPr>
              <w:t xml:space="preserve">[Name, Title]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Data Governance Lead</w:t>
            </w:r>
          </w:p>
        </w:tc>
        <w:tc>
          <w:tcPr>
            <w:tcW w:type="dxa" w:w="35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Data quality standards, privacy oversight, data access controls, CDM/data catalog</w:t>
            </w:r>
          </w:p>
        </w:tc>
        <w:tc>
          <w:tcPr>
            <w:tcW w:type="dxa" w:w="3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8"/>
                <w:szCs w:val="18"/>
              </w:rPr>
              <w:t xml:space="preserve">[Name, Title]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Ethics &amp; Impact Lead</w:t>
            </w:r>
          </w:p>
        </w:tc>
        <w:tc>
          <w:tcPr>
            <w:tcW w:type="dxa" w:w="35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Stakeholder impact assessment, fairness review, bias testing oversight, ethical guidelines</w:t>
            </w:r>
          </w:p>
        </w:tc>
        <w:tc>
          <w:tcPr>
            <w:tcW w:type="dxa" w:w="3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8"/>
                <w:szCs w:val="18"/>
              </w:rPr>
              <w:t xml:space="preserve">[Name, Title]</w:t>
            </w:r>
          </w:p>
        </w:tc>
      </w:tr>
    </w:tbl>
    <w:p>
      <w:r>
        <w:br w:type="page"/>
      </w:r>
    </w:p>
    <w:p>
      <w:pPr>
        <w:pStyle w:val="Heading1"/>
        <w:spacing w:before="300" w:after="160"/>
      </w:pPr>
      <w:r>
        <w:rPr>
          <w:rFonts w:ascii="Georgia" w:cs="Georgia" w:eastAsia="Georgia" w:hAnsi="Georgia"/>
          <w:b/>
          <w:bCs/>
          <w:color w:val="2A2520"/>
          <w:sz w:val="28"/>
          <w:szCs w:val="28"/>
        </w:rPr>
        <w:t xml:space="preserve">4. Decision Authority</w:t>
      </w:r>
    </w:p>
    <w:p>
      <w:pPr>
        <w:spacing w:after="10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The Fabric Core’s authority is structured by risk tier to enable speed at low risk and rigor at high risk: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Type</w:t>
            </w:r>
          </w:p>
        </w:tc>
        <w:tc>
          <w:tcPr>
            <w:tcW w:type="dxa" w:w="328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Authority</w:t>
            </w:r>
          </w:p>
        </w:tc>
        <w:tc>
          <w:tcPr>
            <w:tcW w:type="dxa" w:w="328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SLA</w:t>
            </w:r>
          </w:p>
        </w:tc>
      </w:tr>
      <w:tr>
        <w:tc>
          <w:tcPr>
            <w:tcW w:type="dxa" w:w="2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Express Lane (Low Risk) approvals</w:t>
            </w:r>
          </w:p>
        </w:tc>
        <w:tc>
          <w:tcPr>
            <w:tcW w:type="dxa" w:w="328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AI Lead (Governance Node level)</w:t>
            </w:r>
          </w:p>
        </w:tc>
        <w:tc>
          <w:tcPr>
            <w:tcW w:type="dxa" w:w="328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2 business days</w:t>
            </w:r>
          </w:p>
        </w:tc>
      </w:tr>
      <w:tr>
        <w:tc>
          <w:tcPr>
            <w:tcW w:type="dxa" w:w="2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Standard Lane (Medium Risk) approvals</w:t>
            </w:r>
          </w:p>
        </w:tc>
        <w:tc>
          <w:tcPr>
            <w:tcW w:type="dxa" w:w="328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Governance Node review + Governance Lead sign-off</w:t>
            </w:r>
          </w:p>
        </w:tc>
        <w:tc>
          <w:tcPr>
            <w:tcW w:type="dxa" w:w="328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5 business days</w:t>
            </w:r>
          </w:p>
        </w:tc>
      </w:tr>
      <w:tr>
        <w:tc>
          <w:tcPr>
            <w:tcW w:type="dxa" w:w="2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Strategic Lane (High Risk) approvals</w:t>
            </w:r>
          </w:p>
        </w:tc>
        <w:tc>
          <w:tcPr>
            <w:tcW w:type="dxa" w:w="328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Full Fabric Core review + Executive Sponsor sign-off</w:t>
            </w:r>
          </w:p>
        </w:tc>
        <w:tc>
          <w:tcPr>
            <w:tcW w:type="dxa" w:w="328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10 business days</w:t>
            </w:r>
          </w:p>
        </w:tc>
      </w:tr>
      <w:tr>
        <w:tc>
          <w:tcPr>
            <w:tcW w:type="dxa" w:w="2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Policy changes</w:t>
            </w:r>
          </w:p>
        </w:tc>
        <w:tc>
          <w:tcPr>
            <w:tcW w:type="dxa" w:w="328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Governance Lead drafts, Fabric Core reviews, Executive Sponsor approves</w:t>
            </w:r>
          </w:p>
        </w:tc>
        <w:tc>
          <w:tcPr>
            <w:tcW w:type="dxa" w:w="328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30 days</w:t>
            </w:r>
          </w:p>
        </w:tc>
      </w:tr>
      <w:tr>
        <w:tc>
          <w:tcPr>
            <w:tcW w:type="dxa" w:w="2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Incident escalation (Strategic)</w:t>
            </w:r>
          </w:p>
        </w:tc>
        <w:tc>
          <w:tcPr>
            <w:tcW w:type="dxa" w:w="328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Immediate Fabric Core notification, Executive Sponsor within 4 hours</w:t>
            </w:r>
          </w:p>
        </w:tc>
        <w:tc>
          <w:tcPr>
            <w:tcW w:type="dxa" w:w="328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4 hours</w:t>
            </w:r>
          </w:p>
        </w:tc>
      </w:tr>
      <w:tr>
        <w:tc>
          <w:tcPr>
            <w:tcW w:type="dxa" w:w="2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Framework updates</w:t>
            </w:r>
          </w:p>
        </w:tc>
        <w:tc>
          <w:tcPr>
            <w:tcW w:type="dxa" w:w="328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Governance Lead proposes, Fabric Core approves</w:t>
            </w:r>
          </w:p>
        </w:tc>
        <w:tc>
          <w:tcPr>
            <w:tcW w:type="dxa" w:w="328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Quarterly review cycle</w:t>
            </w:r>
          </w:p>
        </w:tc>
      </w:tr>
    </w:tbl>
    <w:p>
      <w:pPr>
        <w:pStyle w:val="Heading1"/>
        <w:spacing w:before="300" w:after="160"/>
      </w:pPr>
      <w:r>
        <w:rPr>
          <w:rFonts w:ascii="Georgia" w:cs="Georgia" w:eastAsia="Georgia" w:hAnsi="Georgia"/>
          <w:b/>
          <w:bCs/>
          <w:color w:val="2A2520"/>
          <w:sz w:val="28"/>
          <w:szCs w:val="28"/>
        </w:rPr>
        <w:t xml:space="preserve">5. Operating Cadence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Meeting</w:t>
            </w:r>
          </w:p>
        </w:tc>
        <w:tc>
          <w:tcPr>
            <w:tcW w:type="dxa" w:w="234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234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Attendees</w:t>
            </w:r>
          </w:p>
        </w:tc>
        <w:tc>
          <w:tcPr>
            <w:tcW w:type="dxa" w:w="234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AI Pipeline Triage</w:t>
            </w:r>
          </w:p>
        </w:tc>
        <w:tc>
          <w:tcPr>
            <w:tcW w:type="dxa" w:w="234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Weekly (30 min)</w:t>
            </w:r>
          </w:p>
        </w:tc>
        <w:tc>
          <w:tcPr>
            <w:tcW w:type="dxa" w:w="234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Governance Lead + Technical Lead</w:t>
            </w:r>
          </w:p>
        </w:tc>
        <w:tc>
          <w:tcPr>
            <w:tcW w:type="dxa" w:w="234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Review new intake, assign lanes, clear Express approvals</w:t>
            </w:r>
          </w:p>
        </w:tc>
      </w:tr>
      <w:tr>
        <w:tc>
          <w:tcPr>
            <w:tcW w:type="dxa" w:w="234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Fabric Core Review</w:t>
            </w:r>
          </w:p>
        </w:tc>
        <w:tc>
          <w:tcPr>
            <w:tcW w:type="dxa" w:w="234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Biweekly (60 min)</w:t>
            </w:r>
          </w:p>
        </w:tc>
        <w:tc>
          <w:tcPr>
            <w:tcW w:type="dxa" w:w="234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Full Fabric Core</w:t>
            </w:r>
          </w:p>
        </w:tc>
        <w:tc>
          <w:tcPr>
            <w:tcW w:type="dxa" w:w="234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Standard/Strategic gate reviews, policy items, risk escalations</w:t>
            </w:r>
          </w:p>
        </w:tc>
      </w:tr>
      <w:tr>
        <w:tc>
          <w:tcPr>
            <w:tcW w:type="dxa" w:w="234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Portfolio Review</w:t>
            </w:r>
          </w:p>
        </w:tc>
        <w:tc>
          <w:tcPr>
            <w:tcW w:type="dxa" w:w="234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Monthly (60 min)</w:t>
            </w:r>
          </w:p>
        </w:tc>
        <w:tc>
          <w:tcPr>
            <w:tcW w:type="dxa" w:w="234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Fabric Core + BU AI Leads</w:t>
            </w:r>
          </w:p>
        </w:tc>
        <w:tc>
          <w:tcPr>
            <w:tcW w:type="dxa" w:w="234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Portfolio health, value tracking, lane rebalancing</w:t>
            </w:r>
          </w:p>
        </w:tc>
      </w:tr>
      <w:tr>
        <w:tc>
          <w:tcPr>
            <w:tcW w:type="dxa" w:w="234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Executive Briefing</w:t>
            </w:r>
          </w:p>
        </w:tc>
        <w:tc>
          <w:tcPr>
            <w:tcW w:type="dxa" w:w="234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Quarterly (30 min)</w:t>
            </w:r>
          </w:p>
        </w:tc>
        <w:tc>
          <w:tcPr>
            <w:tcW w:type="dxa" w:w="234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Executive Sponsor + Governance Lead</w:t>
            </w:r>
          </w:p>
        </w:tc>
        <w:tc>
          <w:tcPr>
            <w:tcW w:type="dxa" w:w="234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Governance metrics, risk posture, investment recommendations</w:t>
            </w:r>
          </w:p>
        </w:tc>
      </w:tr>
      <w:tr>
        <w:tc>
          <w:tcPr>
            <w:tcW w:type="dxa" w:w="234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Charter Review</w:t>
            </w:r>
          </w:p>
        </w:tc>
        <w:tc>
          <w:tcPr>
            <w:tcW w:type="dxa" w:w="234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Annual</w:t>
            </w:r>
          </w:p>
        </w:tc>
        <w:tc>
          <w:tcPr>
            <w:tcW w:type="dxa" w:w="234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Full Fabric Core</w:t>
            </w:r>
          </w:p>
        </w:tc>
        <w:tc>
          <w:tcPr>
            <w:tcW w:type="dxa" w:w="234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Charter update, role confirmation, scope review</w:t>
            </w:r>
          </w:p>
        </w:tc>
      </w:tr>
    </w:tbl>
    <w:p>
      <w:r>
        <w:br w:type="page"/>
      </w:r>
    </w:p>
    <w:p>
      <w:pPr>
        <w:pStyle w:val="Heading1"/>
        <w:spacing w:before="300" w:after="160"/>
      </w:pPr>
      <w:r>
        <w:rPr>
          <w:rFonts w:ascii="Georgia" w:cs="Georgia" w:eastAsia="Georgia" w:hAnsi="Georgia"/>
          <w:b/>
          <w:bCs/>
          <w:color w:val="2A2520"/>
          <w:sz w:val="28"/>
          <w:szCs w:val="28"/>
        </w:rPr>
        <w:t xml:space="preserve">6. Mandate and Responsibilities</w:t>
      </w: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8B7355"/>
          <w:sz w:val="24"/>
          <w:szCs w:val="24"/>
        </w:rPr>
        <w:t xml:space="preserve">The Fabric Core IS responsible for: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Maintaining the AI governance framework (policies, standards, gate processes)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Reviewing and approving Standard and Strategic Lane AI systems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Setting and maintaining AI technical standards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Providing governance toolkits and templates to business units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Monitoring the AI portfolio for risk, compliance, and value delivery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Coordinating regulatory response and audit preparation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Training and certifying AI Leads (Governance Node members) in each business unit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Reporting governance posture to executive leadership</w:t>
      </w:r>
    </w:p>
    <w:p>
      <w:pPr>
        <w:spacing w:after="40"/>
      </w:pP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8B7355"/>
          <w:sz w:val="24"/>
          <w:szCs w:val="24"/>
        </w:rPr>
        <w:t xml:space="preserve">The Fabric Core IS NOT responsible for: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Building AI systems (that is the business unit’s responsibility)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Selecting AI vendors (that is procurement + the business unit)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Owning the business case for AI initiatives (that is the initiative sponsor)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Day-to-day operation and monitoring of deployed AI systems (that is the system owner)</w:t>
      </w:r>
    </w:p>
    <w:p>
      <w:pPr>
        <w:pStyle w:val="Heading1"/>
        <w:spacing w:before="300" w:after="160"/>
      </w:pPr>
      <w:r>
        <w:rPr>
          <w:rFonts w:ascii="Georgia" w:cs="Georgia" w:eastAsia="Georgia" w:hAnsi="Georgia"/>
          <w:b/>
          <w:bCs/>
          <w:color w:val="2A2520"/>
          <w:sz w:val="28"/>
          <w:szCs w:val="28"/>
        </w:rPr>
        <w:t xml:space="preserve">7.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Measured</w:t>
            </w:r>
          </w:p>
        </w:tc>
      </w:tr>
      <w:tr>
        <w:tc>
          <w:tcPr>
            <w:tcW w:type="dxa" w:w="31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Time-to-classification (new AI systems)</w:t>
            </w:r>
          </w:p>
        </w:tc>
        <w:tc>
          <w:tcPr>
            <w:tcW w:type="dxa" w:w="31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&lt; 48 hours (Express), &lt; 2 weeks (Standard)</w:t>
            </w:r>
          </w:p>
        </w:tc>
        <w:tc>
          <w:tcPr>
            <w:tcW w:type="dxa" w:w="31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31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% of AI systems in governance inventory</w:t>
            </w:r>
          </w:p>
        </w:tc>
        <w:tc>
          <w:tcPr>
            <w:tcW w:type="dxa" w:w="31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100% within 90 days of launch</w:t>
            </w:r>
          </w:p>
        </w:tc>
        <w:tc>
          <w:tcPr>
            <w:tcW w:type="dxa" w:w="31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31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Gate review completion rate</w:t>
            </w:r>
          </w:p>
        </w:tc>
        <w:tc>
          <w:tcPr>
            <w:tcW w:type="dxa" w:w="31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&gt; 90% on-time per SLA</w:t>
            </w:r>
          </w:p>
        </w:tc>
        <w:tc>
          <w:tcPr>
            <w:tcW w:type="dxa" w:w="31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31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AI incidents reported through governance</w:t>
            </w:r>
          </w:p>
        </w:tc>
        <w:tc>
          <w:tcPr>
            <w:tcW w:type="dxa" w:w="31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100% (vs. discovered through other channels)</w:t>
            </w:r>
          </w:p>
        </w:tc>
        <w:tc>
          <w:tcPr>
            <w:tcW w:type="dxa" w:w="31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Quarterly</w:t>
            </w:r>
          </w:p>
        </w:tc>
      </w:tr>
      <w:tr>
        <w:tc>
          <w:tcPr>
            <w:tcW w:type="dxa" w:w="31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Business unit satisfaction with governance process</w:t>
            </w:r>
          </w:p>
        </w:tc>
        <w:tc>
          <w:tcPr>
            <w:tcW w:type="dxa" w:w="31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&gt; 4.0 / 5.0</w:t>
            </w:r>
          </w:p>
        </w:tc>
        <w:tc>
          <w:tcPr>
            <w:tcW w:type="dxa" w:w="31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Semi-annual survey</w:t>
            </w:r>
          </w:p>
        </w:tc>
      </w:tr>
      <w:tr>
        <w:tc>
          <w:tcPr>
            <w:tcW w:type="dxa" w:w="31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Regulatory compliance posture</w:t>
            </w:r>
          </w:p>
        </w:tc>
        <w:tc>
          <w:tcPr>
            <w:tcW w:type="dxa" w:w="31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No material findings in audit</w:t>
            </w:r>
          </w:p>
        </w:tc>
        <w:tc>
          <w:tcPr>
            <w:tcW w:type="dxa" w:w="31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Annual audit</w:t>
            </w:r>
          </w:p>
        </w:tc>
      </w:tr>
    </w:tbl>
    <w:p>
      <w:pPr>
        <w:spacing w:after="200"/>
      </w:pPr>
    </w:p>
    <w:p>
      <w:pPr>
        <w:pBdr>
          <w:top w:val="single" w:color="8B7355" w:sz="2" w:space="8"/>
        </w:pBdr>
        <w:spacing w:after="160"/>
      </w:pP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8B7355"/>
          <w:sz w:val="24"/>
          <w:szCs w:val="24"/>
        </w:rPr>
        <w:t xml:space="preserve">Charter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Executive Sponsor</w:t>
            </w:r>
          </w:p>
        </w:tc>
        <w:tc>
          <w:tcPr>
            <w:tcW w:type="dxa" w:w="31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8"/>
                <w:szCs w:val="18"/>
              </w:rPr>
              <w:t xml:space="preserve">[Name]</w:t>
            </w:r>
          </w:p>
        </w:tc>
        <w:tc>
          <w:tcPr>
            <w:tcW w:type="dxa" w:w="31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8"/>
                <w:szCs w:val="18"/>
              </w:rPr>
              <w:t xml:space="preserve">[Date]</w:t>
            </w:r>
          </w:p>
        </w:tc>
      </w:tr>
      <w:tr>
        <w:tc>
          <w:tcPr>
            <w:tcW w:type="dxa" w:w="31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Governance Lead</w:t>
            </w:r>
          </w:p>
        </w:tc>
        <w:tc>
          <w:tcPr>
            <w:tcW w:type="dxa" w:w="31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8"/>
                <w:szCs w:val="18"/>
              </w:rPr>
              <w:t xml:space="preserve">[Name]</w:t>
            </w:r>
          </w:p>
        </w:tc>
        <w:tc>
          <w:tcPr>
            <w:tcW w:type="dxa" w:w="31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18"/>
                <w:szCs w:val="18"/>
              </w:rPr>
              <w:t xml:space="preserve">[Date]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© 2026 Gordon Chan / Creative Precision. All rights reserved.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B6560"/>
          <w:sz w:val="20"/>
          <w:szCs w:val="20"/>
        </w:rPr>
        <w:t xml:space="preserve">Licensed for use by the purchasing organization only.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560"/>
        <w:sz w:val="14"/>
        <w:szCs w:val="14"/>
      </w:rPr>
      <w:t xml:space="preserve">© 2026 Gordon Chan / Creative Precision  |  Licensed for organizational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0C8" w:sz="1" w:space="4"/>
      </w:pBdr>
      <w:jc w:val="right"/>
    </w:pPr>
    <w:r>
      <w:rPr>
        <w:rFonts w:ascii="Arial" w:cs="Arial" w:eastAsia="Arial" w:hAnsi="Arial"/>
        <w:b/>
        <w:bCs/>
        <w:color w:val="8B7355"/>
        <w:sz w:val="14"/>
        <w:szCs w:val="14"/>
      </w:rPr>
      <w:t xml:space="preserve">CREATIVE PRECISION</w:t>
    </w:r>
    <w:r>
      <w:rPr>
        <w:rFonts w:ascii="Arial" w:cs="Arial" w:eastAsia="Arial" w:hAnsi="Arial"/>
        <w:color w:val="6B6560"/>
        <w:sz w:val="14"/>
        <w:szCs w:val="14"/>
      </w:rPr>
      <w:t xml:space="preserve">  |  Governance-in-a-Box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Georgia" w:cs="Georgia" w:eastAsia="Georgia" w:hAnsi="Georgia"/>
      <w:b/>
      <w:bCs/>
      <w:color w:val="2A252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Georgia" w:cs="Georgia" w:eastAsia="Georgia" w:hAnsi="Georgia"/>
      <w:b/>
      <w:bCs/>
      <w:color w:val="8B73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2026-02-26T00:59:33.992Z</dcterms:created>
  <dcterms:modified xsi:type="dcterms:W3CDTF">2026-02-26T00:59:33.993Z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