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r>
        <w:rPr>
          <w:rFonts w:ascii="Georgia" w:cs="Georgia" w:eastAsia="Georgia" w:hAnsi="Georgia"/>
          <w:b/>
          <w:bCs/>
          <w:color w:val="2A2520"/>
          <w:sz w:val="36"/>
          <w:szCs w:val="36"/>
        </w:rPr>
        <w:t xml:space="preserve">Four-Role Governance Node Guide</w:t>
      </w:r>
    </w:p>
    <w:p>
      <w:pPr>
        <w:spacing w:after="160"/>
      </w:pPr>
      <w:r>
        <w:rPr>
          <w:rFonts w:ascii="Georgia" w:cs="Georgia" w:eastAsia="Georgia" w:hAnsi="Georgia"/>
          <w:color w:val="8B7355"/>
          <w:sz w:val="22"/>
          <w:szCs w:val="22"/>
        </w:rPr>
        <w:t xml:space="preserve">Building Your Distributed AI Governance Network</w:t>
      </w:r>
    </w:p>
    <w:p>
      <w:pPr>
        <w:pBdr>
          <w:bottom w:val="single" w:color="8B7355" w:sz="4" w:space="8"/>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D5D0C8" w:sz="1"/>
              <w:bottom w:val="single" w:color="D5D0C8" w:sz="1"/>
              <w:right w:val="single" w:color="D5D0C8" w:sz="1"/>
            </w:tcBorders>
            <w:shd w:fill="F9F7F3" w:val="clear"/>
            <w:tcMar>
              <w:top w:type="dxa" w:w="120"/>
              <w:left w:type="dxa" w:w="200"/>
              <w:bottom w:type="dxa" w:w="120"/>
              <w:right w:type="dxa" w:w="200"/>
            </w:tcMar>
          </w:tcPr>
          <w:p>
            <w:pPr>
              <w:spacing w:after="60"/>
            </w:pPr>
            <w:r>
              <w:rPr>
                <w:rFonts w:ascii="Arial" w:cs="Arial" w:eastAsia="Arial" w:hAnsi="Arial"/>
                <w:b/>
                <w:bCs/>
                <w:color w:val="2A2520"/>
                <w:sz w:val="18"/>
                <w:szCs w:val="18"/>
              </w:rPr>
              <w:t xml:space="preserve">HOW TO USE THIS GUIDE</w:t>
            </w:r>
          </w:p>
          <w:p>
            <w:r>
              <w:rPr>
                <w:rFonts w:ascii="Arial" w:cs="Arial" w:eastAsia="Arial" w:hAnsi="Arial"/>
                <w:color w:val="6B6560"/>
                <w:sz w:val="18"/>
                <w:szCs w:val="18"/>
              </w:rPr>
              <w:t xml:space="preserve">This guide defines the four governance roles that operate in each business unit (Governance Node). Use it to identify who fills each role, brief them on responsibilities, and establish the operating rhythms that make governance sustainable. In smaller organizations, one person may hold two roles — but the roles themselves must exist.</w:t>
            </w:r>
          </w:p>
        </w:tc>
      </w:tr>
    </w:tbl>
    <w:p>
      <w:pPr>
        <w:spacing w:after="80"/>
      </w:pPr>
    </w:p>
    <w:p>
      <w:pPr>
        <w:spacing w:after="100"/>
      </w:pPr>
      <w:r>
        <w:rPr>
          <w:rFonts w:ascii="Arial" w:cs="Arial" w:eastAsia="Arial" w:hAnsi="Arial"/>
          <w:i/>
          <w:iCs/>
          <w:color w:val="8B7355"/>
          <w:sz w:val="20"/>
          <w:szCs w:val="20"/>
        </w:rPr>
        <w:t xml:space="preserve">Aligned with: NIST AI RMF GOVERN 4 (Organizational Design), ISO 42001 A.3 (Internal Organization).</w:t>
      </w:r>
    </w:p>
    <w:p>
      <w:r>
        <w:br w:type="page"/>
      </w:r>
    </w:p>
    <w:p>
      <w:pPr>
        <w:pStyle w:val="Heading1"/>
        <w:spacing w:before="300" w:after="160"/>
      </w:pPr>
      <w:r>
        <w:rPr>
          <w:rFonts w:ascii="Georgia" w:cs="Georgia" w:eastAsia="Georgia" w:hAnsi="Georgia"/>
          <w:b/>
          <w:bCs/>
          <w:color w:val="2A2520"/>
          <w:sz w:val="28"/>
          <w:szCs w:val="28"/>
        </w:rPr>
        <w:t xml:space="preserve">1. Why Four Roles, Not One</w:t>
      </w:r>
    </w:p>
    <w:p>
      <w:pPr>
        <w:spacing w:after="100"/>
      </w:pPr>
      <w:r>
        <w:rPr>
          <w:rFonts w:ascii="Arial" w:cs="Arial" w:eastAsia="Arial" w:hAnsi="Arial"/>
          <w:color w:val="6B6560"/>
          <w:sz w:val="20"/>
          <w:szCs w:val="20"/>
        </w:rPr>
        <w:t xml:space="preserve">Most organizations assign a single AI Champion per business unit. This creates a single point of failure and an impossible mandate: be technically literate, understand risk, champion adoption, AND enforce compliance. Those are four distinct competencies.</w:t>
      </w:r>
    </w:p>
    <w:p>
      <w:pPr>
        <w:spacing w:after="40"/>
      </w:pPr>
    </w:p>
    <w:p>
      <w:pPr>
        <w:spacing w:after="100"/>
      </w:pPr>
      <w:r>
        <w:rPr>
          <w:rFonts w:ascii="Arial" w:cs="Arial" w:eastAsia="Arial" w:hAnsi="Arial"/>
          <w:b/>
          <w:bCs/>
          <w:color w:val="2A2520"/>
          <w:sz w:val="20"/>
          <w:szCs w:val="20"/>
        </w:rPr>
        <w:t xml:space="preserve">The four-role Governance Node distributes this mandate across complementary functions. Each role has a clear scope, a hub counterpart in the Fabric Core, and specific activities at each governance gate.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36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Function</w:t>
            </w:r>
          </w:p>
        </w:tc>
        <w:tc>
          <w:tcPr>
            <w:tcW w:type="dxa" w:w="36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Hub Counterpart</w:t>
            </w:r>
          </w:p>
        </w:tc>
      </w:tr>
      <w:t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AI Lead</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Adoption evangelism, use case identification, intake management, cultural change agent</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Governance Lead (Fabric Core)</w:t>
            </w:r>
          </w:p>
        </w:tc>
      </w:tr>
      <w:tr>
        <w:tc>
          <w:tcPr>
            <w:tcW w:type="dxa" w:w="2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Risk Liaison</w:t>
            </w:r>
          </w:p>
        </w:tc>
        <w:tc>
          <w:tcPr>
            <w:tcW w:type="dxa" w:w="36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Risk self-assessment, policy compliance, incident first-responder, regulatory monitoring</w:t>
            </w:r>
          </w:p>
        </w:tc>
        <w:tc>
          <w:tcPr>
            <w:tcW w:type="dxa" w:w="36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Risk &amp; Compliance Lead (Fabric Core)</w:t>
            </w:r>
          </w:p>
        </w:tc>
      </w:tr>
      <w:t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Data Steward</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Data quality, lineage, access governance for AI inputs, data readiness validation</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Data Governance Lead (Fabric Core)</w:t>
            </w:r>
          </w:p>
        </w:tc>
      </w:tr>
      <w:tr>
        <w:tc>
          <w:tcPr>
            <w:tcW w:type="dxa" w:w="2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Change Champion</w:t>
            </w:r>
          </w:p>
        </w:tc>
        <w:tc>
          <w:tcPr>
            <w:tcW w:type="dxa" w:w="36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Workforce readiness, adoption tracking, training coordination, stakeholder communication</w:t>
            </w:r>
          </w:p>
        </w:tc>
        <w:tc>
          <w:tcPr>
            <w:tcW w:type="dxa" w:w="36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Ethics &amp; Impact Lead (Fabric Core)</w:t>
            </w:r>
          </w:p>
        </w:tc>
      </w:tr>
    </w:tbl>
    <w:p>
      <w:r>
        <w:br w:type="page"/>
      </w:r>
    </w:p>
    <w:p>
      <w:pPr>
        <w:pStyle w:val="Heading1"/>
        <w:spacing w:before="300" w:after="160"/>
      </w:pPr>
      <w:r>
        <w:rPr>
          <w:rFonts w:ascii="Georgia" w:cs="Georgia" w:eastAsia="Georgia" w:hAnsi="Georgia"/>
          <w:b/>
          <w:bCs/>
          <w:color w:val="2A2520"/>
          <w:sz w:val="28"/>
          <w:szCs w:val="28"/>
        </w:rPr>
        <w:t xml:space="preserve">2. AI Lead</w:t>
      </w:r>
    </w:p>
    <w:p>
      <w:pPr>
        <w:spacing w:after="100"/>
      </w:pPr>
      <w:r>
        <w:rPr>
          <w:rFonts w:ascii="Arial" w:cs="Arial" w:eastAsia="Arial" w:hAnsi="Arial"/>
          <w:b/>
          <w:bCs/>
          <w:i/>
          <w:iCs/>
          <w:color w:val="8B7355"/>
          <w:sz w:val="20"/>
          <w:szCs w:val="20"/>
        </w:rPr>
        <w:t xml:space="preserve">The Adoption Driver</w:t>
      </w:r>
    </w:p>
    <w:p>
      <w:pPr>
        <w:spacing w:after="40"/>
      </w:pPr>
    </w:p>
    <w:p>
      <w:pPr>
        <w:spacing w:after="80"/>
      </w:pPr>
      <w:r>
        <w:rPr>
          <w:rFonts w:ascii="Arial" w:cs="Arial" w:eastAsia="Arial" w:hAnsi="Arial"/>
          <w:b/>
          <w:bCs/>
          <w:color w:val="2A2520"/>
          <w:sz w:val="20"/>
          <w:szCs w:val="20"/>
        </w:rPr>
        <w:t xml:space="preserve">Purpose: </w:t>
      </w:r>
      <w:r>
        <w:rPr>
          <w:rFonts w:ascii="Arial" w:cs="Arial" w:eastAsia="Arial" w:hAnsi="Arial"/>
          <w:color w:val="6B6560"/>
          <w:sz w:val="20"/>
          <w:szCs w:val="20"/>
        </w:rPr>
        <w:t xml:space="preserve">The AI Lead is the primary governance contact for the business unit. They manage the intake pipeline, champion approved projects, and serve as the bridge between the BU and the Fabric Core.</w:t>
      </w:r>
    </w:p>
    <w:p>
      <w:pPr>
        <w:spacing w:after="40"/>
      </w:pPr>
    </w:p>
    <w:p>
      <w:pPr>
        <w:pStyle w:val="Heading2"/>
        <w:spacing w:before="240" w:after="120"/>
      </w:pPr>
      <w:r>
        <w:rPr>
          <w:rFonts w:ascii="Georgia" w:cs="Georgia" w:eastAsia="Georgia" w:hAnsi="Georgia"/>
          <w:b/>
          <w:bCs/>
          <w:color w:val="8B7355"/>
          <w:sz w:val="24"/>
          <w:szCs w:val="24"/>
        </w:rPr>
        <w:t xml:space="preserve">Responsibilities</w:t>
      </w:r>
    </w:p>
    <w:p>
      <w:pPr>
        <w:pStyle w:val="ListParagraph"/>
        <w:numPr>
          <w:ilvl w:val="0"/>
          <w:numId w:val="2"/>
        </w:numPr>
        <w:spacing w:after="60"/>
      </w:pPr>
      <w:r>
        <w:rPr>
          <w:rFonts w:ascii="Arial" w:cs="Arial" w:eastAsia="Arial" w:hAnsi="Arial"/>
          <w:color w:val="6B6560"/>
          <w:sz w:val="20"/>
          <w:szCs w:val="20"/>
        </w:rPr>
        <w:t xml:space="preserve">Surface and submit new AI use cases through the intake channel</w:t>
      </w:r>
    </w:p>
    <w:p>
      <w:pPr>
        <w:pStyle w:val="ListParagraph"/>
        <w:numPr>
          <w:ilvl w:val="0"/>
          <w:numId w:val="2"/>
        </w:numPr>
        <w:spacing w:after="60"/>
      </w:pPr>
      <w:r>
        <w:rPr>
          <w:rFonts w:ascii="Arial" w:cs="Arial" w:eastAsia="Arial" w:hAnsi="Arial"/>
          <w:color w:val="6B6560"/>
          <w:sz w:val="20"/>
          <w:szCs w:val="20"/>
        </w:rPr>
        <w:t xml:space="preserve">Run initial risk assessments using the Risk Assessment Questionnaire</w:t>
      </w:r>
    </w:p>
    <w:p>
      <w:pPr>
        <w:pStyle w:val="ListParagraph"/>
        <w:numPr>
          <w:ilvl w:val="0"/>
          <w:numId w:val="2"/>
        </w:numPr>
        <w:spacing w:after="60"/>
      </w:pPr>
      <w:r>
        <w:rPr>
          <w:rFonts w:ascii="Arial" w:cs="Arial" w:eastAsia="Arial" w:hAnsi="Arial"/>
          <w:color w:val="6B6560"/>
          <w:sz w:val="20"/>
          <w:szCs w:val="20"/>
        </w:rPr>
        <w:t xml:space="preserve">Manage the BU’s AI Inventory (systems, risk tiers, lane assignments, owners)</w:t>
      </w:r>
    </w:p>
    <w:p>
      <w:pPr>
        <w:pStyle w:val="ListParagraph"/>
        <w:numPr>
          <w:ilvl w:val="0"/>
          <w:numId w:val="2"/>
        </w:numPr>
        <w:spacing w:after="60"/>
      </w:pPr>
      <w:r>
        <w:rPr>
          <w:rFonts w:ascii="Arial" w:cs="Arial" w:eastAsia="Arial" w:hAnsi="Arial"/>
          <w:color w:val="6B6560"/>
          <w:sz w:val="20"/>
          <w:szCs w:val="20"/>
        </w:rPr>
        <w:t xml:space="preserve">Approve Express Lane (Low Risk) deployments within their BU</w:t>
      </w:r>
    </w:p>
    <w:p>
      <w:pPr>
        <w:pStyle w:val="ListParagraph"/>
        <w:numPr>
          <w:ilvl w:val="0"/>
          <w:numId w:val="2"/>
        </w:numPr>
        <w:spacing w:after="60"/>
      </w:pPr>
      <w:r>
        <w:rPr>
          <w:rFonts w:ascii="Arial" w:cs="Arial" w:eastAsia="Arial" w:hAnsi="Arial"/>
          <w:color w:val="6B6560"/>
          <w:sz w:val="20"/>
          <w:szCs w:val="20"/>
        </w:rPr>
        <w:t xml:space="preserve">Coordinate Standard and Strategic Lane reviews with the Fabric Core</w:t>
      </w:r>
    </w:p>
    <w:p>
      <w:pPr>
        <w:pStyle w:val="ListParagraph"/>
        <w:numPr>
          <w:ilvl w:val="0"/>
          <w:numId w:val="2"/>
        </w:numPr>
        <w:spacing w:after="60"/>
      </w:pPr>
      <w:r>
        <w:rPr>
          <w:rFonts w:ascii="Arial" w:cs="Arial" w:eastAsia="Arial" w:hAnsi="Arial"/>
          <w:color w:val="6B6560"/>
          <w:sz w:val="20"/>
          <w:szCs w:val="20"/>
        </w:rPr>
        <w:t xml:space="preserve">Champion approved AI projects within the BU — drive adoption, not just compliance</w:t>
      </w:r>
    </w:p>
    <w:p>
      <w:pPr>
        <w:pStyle w:val="ListParagraph"/>
        <w:numPr>
          <w:ilvl w:val="0"/>
          <w:numId w:val="2"/>
        </w:numPr>
        <w:spacing w:after="60"/>
      </w:pPr>
      <w:r>
        <w:rPr>
          <w:rFonts w:ascii="Arial" w:cs="Arial" w:eastAsia="Arial" w:hAnsi="Arial"/>
          <w:color w:val="6B6560"/>
          <w:sz w:val="20"/>
          <w:szCs w:val="20"/>
        </w:rPr>
        <w:t xml:space="preserve">Escalate governance concerns to the Governance Lead</w:t>
      </w:r>
    </w:p>
    <w:p>
      <w:pPr>
        <w:spacing w:after="40"/>
      </w:pPr>
    </w:p>
    <w:p>
      <w:pPr>
        <w:pStyle w:val="Heading2"/>
        <w:spacing w:before="240" w:after="120"/>
      </w:pPr>
      <w:r>
        <w:rPr>
          <w:rFonts w:ascii="Georgia" w:cs="Georgia" w:eastAsia="Georgia" w:hAnsi="Georgia"/>
          <w:b/>
          <w:bCs/>
          <w:color w:val="8B7355"/>
          <w:sz w:val="24"/>
          <w:szCs w:val="24"/>
        </w:rPr>
        <w:t xml:space="preserve">Recommended Qualifications</w:t>
      </w:r>
    </w:p>
    <w:p>
      <w:pPr>
        <w:pStyle w:val="ListParagraph"/>
        <w:numPr>
          <w:ilvl w:val="0"/>
          <w:numId w:val="2"/>
        </w:numPr>
        <w:spacing w:after="60"/>
      </w:pPr>
      <w:r>
        <w:rPr>
          <w:rFonts w:ascii="Arial" w:cs="Arial" w:eastAsia="Arial" w:hAnsi="Arial"/>
          <w:color w:val="6B6560"/>
          <w:sz w:val="20"/>
          <w:szCs w:val="20"/>
        </w:rPr>
        <w:t xml:space="preserve">Understanding of the organization’s AI strategy and approved tools</w:t>
      </w:r>
    </w:p>
    <w:p>
      <w:pPr>
        <w:pStyle w:val="ListParagraph"/>
        <w:numPr>
          <w:ilvl w:val="0"/>
          <w:numId w:val="2"/>
        </w:numPr>
        <w:spacing w:after="60"/>
      </w:pPr>
      <w:r>
        <w:rPr>
          <w:rFonts w:ascii="Arial" w:cs="Arial" w:eastAsia="Arial" w:hAnsi="Arial"/>
          <w:color w:val="6B6560"/>
          <w:sz w:val="20"/>
          <w:szCs w:val="20"/>
        </w:rPr>
        <w:t xml:space="preserve">Ability to complete the Risk Assessment Questionnaire independently</w:t>
      </w:r>
    </w:p>
    <w:p>
      <w:pPr>
        <w:pStyle w:val="ListParagraph"/>
        <w:numPr>
          <w:ilvl w:val="0"/>
          <w:numId w:val="2"/>
        </w:numPr>
        <w:spacing w:after="60"/>
      </w:pPr>
      <w:r>
        <w:rPr>
          <w:rFonts w:ascii="Arial" w:cs="Arial" w:eastAsia="Arial" w:hAnsi="Arial"/>
          <w:color w:val="6B6560"/>
          <w:sz w:val="20"/>
          <w:szCs w:val="20"/>
        </w:rPr>
        <w:t xml:space="preserve">Credibility with both technical teams and business leadership</w:t>
      </w:r>
    </w:p>
    <w:p>
      <w:pPr>
        <w:pStyle w:val="ListParagraph"/>
        <w:numPr>
          <w:ilvl w:val="0"/>
          <w:numId w:val="2"/>
        </w:numPr>
        <w:spacing w:after="60"/>
      </w:pPr>
      <w:r>
        <w:rPr>
          <w:rFonts w:ascii="Arial" w:cs="Arial" w:eastAsia="Arial" w:hAnsi="Arial"/>
          <w:color w:val="6B6560"/>
          <w:sz w:val="20"/>
          <w:szCs w:val="20"/>
        </w:rPr>
        <w:t xml:space="preserve">Recommended: Complete AI Lead Certification (see Section 7)</w:t>
      </w:r>
    </w:p>
    <w:p>
      <w:pPr>
        <w:spacing w:after="40"/>
      </w:pPr>
    </w:p>
    <w:p>
      <w:pPr>
        <w:spacing w:after="80"/>
      </w:pPr>
      <w:r>
        <w:rPr>
          <w:rFonts w:ascii="Arial" w:cs="Arial" w:eastAsia="Arial" w:hAnsi="Arial"/>
          <w:b/>
          <w:bCs/>
          <w:color w:val="2A2520"/>
          <w:sz w:val="20"/>
          <w:szCs w:val="20"/>
        </w:rPr>
        <w:t xml:space="preserve">Time Commitment: </w:t>
      </w:r>
      <w:r>
        <w:rPr>
          <w:rFonts w:ascii="Arial" w:cs="Arial" w:eastAsia="Arial" w:hAnsi="Arial"/>
          <w:color w:val="6B6560"/>
          <w:sz w:val="20"/>
          <w:szCs w:val="20"/>
        </w:rPr>
        <w:t xml:space="preserve">4–6 hours/week (higher during active gate reviews)</w:t>
      </w:r>
    </w:p>
    <w:p>
      <w:pPr>
        <w:spacing w:after="80"/>
      </w:pPr>
      <w:r>
        <w:rPr>
          <w:rFonts w:ascii="Arial" w:cs="Arial" w:eastAsia="Arial" w:hAnsi="Arial"/>
          <w:b/>
          <w:bCs/>
          <w:color w:val="2A2520"/>
          <w:sz w:val="20"/>
          <w:szCs w:val="20"/>
        </w:rPr>
        <w:t xml:space="preserve">Gate Activities: </w:t>
      </w:r>
      <w:r>
        <w:rPr>
          <w:rFonts w:ascii="Arial" w:cs="Arial" w:eastAsia="Arial" w:hAnsi="Arial"/>
          <w:color w:val="6B6560"/>
          <w:sz w:val="20"/>
          <w:szCs w:val="20"/>
        </w:rPr>
        <w:t xml:space="preserve">Gate 0: Submits intake. Gate 1: Leads risk assessment. Gate 2: Confirms deployment readiness. Gate 3: Reports on system value and operational health.</w:t>
      </w:r>
    </w:p>
    <w:p>
      <w:r>
        <w:br w:type="page"/>
      </w:r>
    </w:p>
    <w:p>
      <w:pPr>
        <w:pStyle w:val="Heading1"/>
        <w:spacing w:before="300" w:after="160"/>
      </w:pPr>
      <w:r>
        <w:rPr>
          <w:rFonts w:ascii="Georgia" w:cs="Georgia" w:eastAsia="Georgia" w:hAnsi="Georgia"/>
          <w:b/>
          <w:bCs/>
          <w:color w:val="2A2520"/>
          <w:sz w:val="28"/>
          <w:szCs w:val="28"/>
        </w:rPr>
        <w:t xml:space="preserve">3. Risk Liaison</w:t>
      </w:r>
    </w:p>
    <w:p>
      <w:pPr>
        <w:spacing w:after="100"/>
      </w:pPr>
      <w:r>
        <w:rPr>
          <w:rFonts w:ascii="Arial" w:cs="Arial" w:eastAsia="Arial" w:hAnsi="Arial"/>
          <w:b/>
          <w:bCs/>
          <w:i/>
          <w:iCs/>
          <w:color w:val="8B7355"/>
          <w:sz w:val="20"/>
          <w:szCs w:val="20"/>
        </w:rPr>
        <w:t xml:space="preserve">The Risk Watchdog</w:t>
      </w:r>
    </w:p>
    <w:p>
      <w:pPr>
        <w:spacing w:after="40"/>
      </w:pPr>
    </w:p>
    <w:p>
      <w:pPr>
        <w:spacing w:after="80"/>
      </w:pPr>
      <w:r>
        <w:rPr>
          <w:rFonts w:ascii="Arial" w:cs="Arial" w:eastAsia="Arial" w:hAnsi="Arial"/>
          <w:b/>
          <w:bCs/>
          <w:color w:val="2A2520"/>
          <w:sz w:val="20"/>
          <w:szCs w:val="20"/>
        </w:rPr>
        <w:t xml:space="preserve">Purpose: </w:t>
      </w:r>
      <w:r>
        <w:rPr>
          <w:rFonts w:ascii="Arial" w:cs="Arial" w:eastAsia="Arial" w:hAnsi="Arial"/>
          <w:color w:val="6B6560"/>
          <w:sz w:val="20"/>
          <w:szCs w:val="20"/>
        </w:rPr>
        <w:t xml:space="preserve">The Risk Liaison ensures every AI system in the BU has been properly assessed for risk and remains compliant with organizational policy and external regulations.</w:t>
      </w:r>
    </w:p>
    <w:p>
      <w:pPr>
        <w:spacing w:after="40"/>
      </w:pPr>
    </w:p>
    <w:p>
      <w:pPr>
        <w:pStyle w:val="Heading2"/>
        <w:spacing w:before="240" w:after="120"/>
      </w:pPr>
      <w:r>
        <w:rPr>
          <w:rFonts w:ascii="Georgia" w:cs="Georgia" w:eastAsia="Georgia" w:hAnsi="Georgia"/>
          <w:b/>
          <w:bCs/>
          <w:color w:val="8B7355"/>
          <w:sz w:val="24"/>
          <w:szCs w:val="24"/>
        </w:rPr>
        <w:t xml:space="preserve">Responsibilities</w:t>
      </w:r>
    </w:p>
    <w:p>
      <w:pPr>
        <w:pStyle w:val="ListParagraph"/>
        <w:numPr>
          <w:ilvl w:val="0"/>
          <w:numId w:val="2"/>
        </w:numPr>
        <w:spacing w:after="60"/>
      </w:pPr>
      <w:r>
        <w:rPr>
          <w:rFonts w:ascii="Arial" w:cs="Arial" w:eastAsia="Arial" w:hAnsi="Arial"/>
          <w:color w:val="6B6560"/>
          <w:sz w:val="20"/>
          <w:szCs w:val="20"/>
        </w:rPr>
        <w:t xml:space="preserve">Complete the risk scoring dimensions of the Risk Assessment Questionnaire</w:t>
      </w:r>
    </w:p>
    <w:p>
      <w:pPr>
        <w:pStyle w:val="ListParagraph"/>
        <w:numPr>
          <w:ilvl w:val="0"/>
          <w:numId w:val="2"/>
        </w:numPr>
        <w:spacing w:after="60"/>
      </w:pPr>
      <w:r>
        <w:rPr>
          <w:rFonts w:ascii="Arial" w:cs="Arial" w:eastAsia="Arial" w:hAnsi="Arial"/>
          <w:color w:val="6B6560"/>
          <w:sz w:val="20"/>
          <w:szCs w:val="20"/>
        </w:rPr>
        <w:t xml:space="preserve">Flag emerging risks between gate reviews (data drift, regulatory changes, vendor issues)</w:t>
      </w:r>
    </w:p>
    <w:p>
      <w:pPr>
        <w:pStyle w:val="ListParagraph"/>
        <w:numPr>
          <w:ilvl w:val="0"/>
          <w:numId w:val="2"/>
        </w:numPr>
        <w:spacing w:after="60"/>
      </w:pPr>
      <w:r>
        <w:rPr>
          <w:rFonts w:ascii="Arial" w:cs="Arial" w:eastAsia="Arial" w:hAnsi="Arial"/>
          <w:color w:val="6B6560"/>
          <w:sz w:val="20"/>
          <w:szCs w:val="20"/>
        </w:rPr>
        <w:t xml:space="preserve">Serve as first responder for AI incidents in the BU</w:t>
      </w:r>
    </w:p>
    <w:p>
      <w:pPr>
        <w:pStyle w:val="ListParagraph"/>
        <w:numPr>
          <w:ilvl w:val="0"/>
          <w:numId w:val="2"/>
        </w:numPr>
        <w:spacing w:after="60"/>
      </w:pPr>
      <w:r>
        <w:rPr>
          <w:rFonts w:ascii="Arial" w:cs="Arial" w:eastAsia="Arial" w:hAnsi="Arial"/>
          <w:color w:val="6B6560"/>
          <w:sz w:val="20"/>
          <w:szCs w:val="20"/>
        </w:rPr>
        <w:t xml:space="preserve">Monitor regulatory developments that affect the BU’s AI systems</w:t>
      </w:r>
    </w:p>
    <w:p>
      <w:pPr>
        <w:pStyle w:val="ListParagraph"/>
        <w:numPr>
          <w:ilvl w:val="0"/>
          <w:numId w:val="2"/>
        </w:numPr>
        <w:spacing w:after="60"/>
      </w:pPr>
      <w:r>
        <w:rPr>
          <w:rFonts w:ascii="Arial" w:cs="Arial" w:eastAsia="Arial" w:hAnsi="Arial"/>
          <w:color w:val="6B6560"/>
          <w:sz w:val="20"/>
          <w:szCs w:val="20"/>
        </w:rPr>
        <w:t xml:space="preserve">Participate in Gate 1 and Gate 1.5 reviews as risk subject-matter expert</w:t>
      </w:r>
    </w:p>
    <w:p>
      <w:pPr>
        <w:pStyle w:val="ListParagraph"/>
        <w:numPr>
          <w:ilvl w:val="0"/>
          <w:numId w:val="2"/>
        </w:numPr>
        <w:spacing w:after="60"/>
      </w:pPr>
      <w:r>
        <w:rPr>
          <w:rFonts w:ascii="Arial" w:cs="Arial" w:eastAsia="Arial" w:hAnsi="Arial"/>
          <w:color w:val="6B6560"/>
          <w:sz w:val="20"/>
          <w:szCs w:val="20"/>
        </w:rPr>
        <w:t xml:space="preserve">Maintain the BU’s risk register for AI systems</w:t>
      </w:r>
    </w:p>
    <w:p>
      <w:pPr>
        <w:pStyle w:val="ListParagraph"/>
        <w:numPr>
          <w:ilvl w:val="0"/>
          <w:numId w:val="2"/>
        </w:numPr>
        <w:spacing w:after="60"/>
      </w:pPr>
      <w:r>
        <w:rPr>
          <w:rFonts w:ascii="Arial" w:cs="Arial" w:eastAsia="Arial" w:hAnsi="Arial"/>
          <w:color w:val="6B6560"/>
          <w:sz w:val="20"/>
          <w:szCs w:val="20"/>
        </w:rPr>
        <w:t xml:space="preserve">Escalate risk concerns to the Risk &amp; Compliance Lead</w:t>
      </w:r>
    </w:p>
    <w:p>
      <w:pPr>
        <w:spacing w:after="40"/>
      </w:pPr>
    </w:p>
    <w:p>
      <w:pPr>
        <w:pStyle w:val="Heading2"/>
        <w:spacing w:before="240" w:after="120"/>
      </w:pPr>
      <w:r>
        <w:rPr>
          <w:rFonts w:ascii="Georgia" w:cs="Georgia" w:eastAsia="Georgia" w:hAnsi="Georgia"/>
          <w:b/>
          <w:bCs/>
          <w:color w:val="8B7355"/>
          <w:sz w:val="24"/>
          <w:szCs w:val="24"/>
        </w:rPr>
        <w:t xml:space="preserve">Recommended Qualifications</w:t>
      </w:r>
    </w:p>
    <w:p>
      <w:pPr>
        <w:pStyle w:val="ListParagraph"/>
        <w:numPr>
          <w:ilvl w:val="0"/>
          <w:numId w:val="2"/>
        </w:numPr>
        <w:spacing w:after="60"/>
      </w:pPr>
      <w:r>
        <w:rPr>
          <w:rFonts w:ascii="Arial" w:cs="Arial" w:eastAsia="Arial" w:hAnsi="Arial"/>
          <w:color w:val="6B6560"/>
          <w:sz w:val="20"/>
          <w:szCs w:val="20"/>
        </w:rPr>
        <w:t xml:space="preserve">Familiarity with risk management principles</w:t>
      </w:r>
    </w:p>
    <w:p>
      <w:pPr>
        <w:pStyle w:val="ListParagraph"/>
        <w:numPr>
          <w:ilvl w:val="0"/>
          <w:numId w:val="2"/>
        </w:numPr>
        <w:spacing w:after="60"/>
      </w:pPr>
      <w:r>
        <w:rPr>
          <w:rFonts w:ascii="Arial" w:cs="Arial" w:eastAsia="Arial" w:hAnsi="Arial"/>
          <w:color w:val="6B6560"/>
          <w:sz w:val="20"/>
          <w:szCs w:val="20"/>
        </w:rPr>
        <w:t xml:space="preserve">Understanding of the organization’s risk appetite and regulatory environment</w:t>
      </w:r>
    </w:p>
    <w:p>
      <w:pPr>
        <w:pStyle w:val="ListParagraph"/>
        <w:numPr>
          <w:ilvl w:val="0"/>
          <w:numId w:val="2"/>
        </w:numPr>
        <w:spacing w:after="60"/>
      </w:pPr>
      <w:r>
        <w:rPr>
          <w:rFonts w:ascii="Arial" w:cs="Arial" w:eastAsia="Arial" w:hAnsi="Arial"/>
          <w:color w:val="6B6560"/>
          <w:sz w:val="20"/>
          <w:szCs w:val="20"/>
        </w:rPr>
        <w:t xml:space="preserve">Ability to assess technical risks in business terms</w:t>
      </w:r>
    </w:p>
    <w:p>
      <w:pPr>
        <w:pStyle w:val="ListParagraph"/>
        <w:numPr>
          <w:ilvl w:val="0"/>
          <w:numId w:val="2"/>
        </w:numPr>
        <w:spacing w:after="60"/>
      </w:pPr>
      <w:r>
        <w:rPr>
          <w:rFonts w:ascii="Arial" w:cs="Arial" w:eastAsia="Arial" w:hAnsi="Arial"/>
          <w:color w:val="6B6560"/>
          <w:sz w:val="20"/>
          <w:szCs w:val="20"/>
        </w:rPr>
        <w:t xml:space="preserve">Experience with compliance frameworks (NIST, ISO, or industry-specific)</w:t>
      </w:r>
    </w:p>
    <w:p>
      <w:pPr>
        <w:spacing w:after="40"/>
      </w:pPr>
    </w:p>
    <w:p>
      <w:pPr>
        <w:spacing w:after="80"/>
      </w:pPr>
      <w:r>
        <w:rPr>
          <w:rFonts w:ascii="Arial" w:cs="Arial" w:eastAsia="Arial" w:hAnsi="Arial"/>
          <w:b/>
          <w:bCs/>
          <w:color w:val="2A2520"/>
          <w:sz w:val="20"/>
          <w:szCs w:val="20"/>
        </w:rPr>
        <w:t xml:space="preserve">Time Commitment: </w:t>
      </w:r>
      <w:r>
        <w:rPr>
          <w:rFonts w:ascii="Arial" w:cs="Arial" w:eastAsia="Arial" w:hAnsi="Arial"/>
          <w:color w:val="6B6560"/>
          <w:sz w:val="20"/>
          <w:szCs w:val="20"/>
        </w:rPr>
        <w:t xml:space="preserve">3–5 hours/week (higher during incident response or regulatory changes)</w:t>
      </w:r>
    </w:p>
    <w:p>
      <w:pPr>
        <w:spacing w:after="80"/>
      </w:pPr>
      <w:r>
        <w:rPr>
          <w:rFonts w:ascii="Arial" w:cs="Arial" w:eastAsia="Arial" w:hAnsi="Arial"/>
          <w:b/>
          <w:bCs/>
          <w:color w:val="2A2520"/>
          <w:sz w:val="20"/>
          <w:szCs w:val="20"/>
        </w:rPr>
        <w:t xml:space="preserve">Gate Activities: </w:t>
      </w:r>
      <w:r>
        <w:rPr>
          <w:rFonts w:ascii="Arial" w:cs="Arial" w:eastAsia="Arial" w:hAnsi="Arial"/>
          <w:color w:val="6B6560"/>
          <w:sz w:val="20"/>
          <w:szCs w:val="20"/>
        </w:rPr>
        <w:t xml:space="preserve">Gate 0: Reviews initial risk flags. Gate 1: Scores risk dimensions. Gate 1.5: Provides risk challenge report (Strategic only). Gate 3: Monitors ongoing risk posture.</w:t>
      </w:r>
    </w:p>
    <w:p>
      <w:r>
        <w:br w:type="page"/>
      </w:r>
    </w:p>
    <w:p>
      <w:pPr>
        <w:pStyle w:val="Heading1"/>
        <w:spacing w:before="300" w:after="160"/>
      </w:pPr>
      <w:r>
        <w:rPr>
          <w:rFonts w:ascii="Georgia" w:cs="Georgia" w:eastAsia="Georgia" w:hAnsi="Georgia"/>
          <w:b/>
          <w:bCs/>
          <w:color w:val="2A2520"/>
          <w:sz w:val="28"/>
          <w:szCs w:val="28"/>
        </w:rPr>
        <w:t xml:space="preserve">4. Data Steward</w:t>
      </w:r>
    </w:p>
    <w:p>
      <w:pPr>
        <w:spacing w:after="100"/>
      </w:pPr>
      <w:r>
        <w:rPr>
          <w:rFonts w:ascii="Arial" w:cs="Arial" w:eastAsia="Arial" w:hAnsi="Arial"/>
          <w:b/>
          <w:bCs/>
          <w:i/>
          <w:iCs/>
          <w:color w:val="8B7355"/>
          <w:sz w:val="20"/>
          <w:szCs w:val="20"/>
        </w:rPr>
        <w:t xml:space="preserve">The Data Guardian</w:t>
      </w:r>
    </w:p>
    <w:p>
      <w:pPr>
        <w:spacing w:after="40"/>
      </w:pPr>
    </w:p>
    <w:p>
      <w:pPr>
        <w:spacing w:after="80"/>
      </w:pPr>
      <w:r>
        <w:rPr>
          <w:rFonts w:ascii="Arial" w:cs="Arial" w:eastAsia="Arial" w:hAnsi="Arial"/>
          <w:b/>
          <w:bCs/>
          <w:color w:val="2A2520"/>
          <w:sz w:val="20"/>
          <w:szCs w:val="20"/>
        </w:rPr>
        <w:t xml:space="preserve">Purpose: </w:t>
      </w:r>
      <w:r>
        <w:rPr>
          <w:rFonts w:ascii="Arial" w:cs="Arial" w:eastAsia="Arial" w:hAnsi="Arial"/>
          <w:color w:val="6B6560"/>
          <w:sz w:val="20"/>
          <w:szCs w:val="20"/>
        </w:rPr>
        <w:t xml:space="preserve">The Data Steward ensures the data feeding AI systems is clean, documented, properly governed, and compliant with privacy requirements.</w:t>
      </w:r>
    </w:p>
    <w:p>
      <w:pPr>
        <w:spacing w:after="40"/>
      </w:pPr>
    </w:p>
    <w:p>
      <w:pPr>
        <w:pStyle w:val="Heading2"/>
        <w:spacing w:before="240" w:after="120"/>
      </w:pPr>
      <w:r>
        <w:rPr>
          <w:rFonts w:ascii="Georgia" w:cs="Georgia" w:eastAsia="Georgia" w:hAnsi="Georgia"/>
          <w:b/>
          <w:bCs/>
          <w:color w:val="8B7355"/>
          <w:sz w:val="24"/>
          <w:szCs w:val="24"/>
        </w:rPr>
        <w:t xml:space="preserve">Responsibilities</w:t>
      </w:r>
    </w:p>
    <w:p>
      <w:pPr>
        <w:pStyle w:val="ListParagraph"/>
        <w:numPr>
          <w:ilvl w:val="0"/>
          <w:numId w:val="2"/>
        </w:numPr>
        <w:spacing w:after="60"/>
      </w:pPr>
      <w:r>
        <w:rPr>
          <w:rFonts w:ascii="Arial" w:cs="Arial" w:eastAsia="Arial" w:hAnsi="Arial"/>
          <w:color w:val="6B6560"/>
          <w:sz w:val="20"/>
          <w:szCs w:val="20"/>
        </w:rPr>
        <w:t xml:space="preserve">Validate data readiness before AI systems enter Gate 1</w:t>
      </w:r>
    </w:p>
    <w:p>
      <w:pPr>
        <w:pStyle w:val="ListParagraph"/>
        <w:numPr>
          <w:ilvl w:val="0"/>
          <w:numId w:val="2"/>
        </w:numPr>
        <w:spacing w:after="60"/>
      </w:pPr>
      <w:r>
        <w:rPr>
          <w:rFonts w:ascii="Arial" w:cs="Arial" w:eastAsia="Arial" w:hAnsi="Arial"/>
          <w:color w:val="6B6560"/>
          <w:sz w:val="20"/>
          <w:szCs w:val="20"/>
        </w:rPr>
        <w:t xml:space="preserve">Monitor data quality for production AI systems (drift, degradation, bias)</w:t>
      </w:r>
    </w:p>
    <w:p>
      <w:pPr>
        <w:pStyle w:val="ListParagraph"/>
        <w:numPr>
          <w:ilvl w:val="0"/>
          <w:numId w:val="2"/>
        </w:numPr>
        <w:spacing w:after="60"/>
      </w:pPr>
      <w:r>
        <w:rPr>
          <w:rFonts w:ascii="Arial" w:cs="Arial" w:eastAsia="Arial" w:hAnsi="Arial"/>
          <w:color w:val="6B6560"/>
          <w:sz w:val="20"/>
          <w:szCs w:val="20"/>
        </w:rPr>
        <w:t xml:space="preserve">Manage data access controls for AI system inputs</w:t>
      </w:r>
    </w:p>
    <w:p>
      <w:pPr>
        <w:pStyle w:val="ListParagraph"/>
        <w:numPr>
          <w:ilvl w:val="0"/>
          <w:numId w:val="2"/>
        </w:numPr>
        <w:spacing w:after="60"/>
      </w:pPr>
      <w:r>
        <w:rPr>
          <w:rFonts w:ascii="Arial" w:cs="Arial" w:eastAsia="Arial" w:hAnsi="Arial"/>
          <w:color w:val="6B6560"/>
          <w:sz w:val="20"/>
          <w:szCs w:val="20"/>
        </w:rPr>
        <w:t xml:space="preserve">Conduct or support Data Protection Impact Assessments (DPIAs)</w:t>
      </w:r>
    </w:p>
    <w:p>
      <w:pPr>
        <w:pStyle w:val="ListParagraph"/>
        <w:numPr>
          <w:ilvl w:val="0"/>
          <w:numId w:val="2"/>
        </w:numPr>
        <w:spacing w:after="60"/>
      </w:pPr>
      <w:r>
        <w:rPr>
          <w:rFonts w:ascii="Arial" w:cs="Arial" w:eastAsia="Arial" w:hAnsi="Arial"/>
          <w:color w:val="6B6560"/>
          <w:sz w:val="20"/>
          <w:szCs w:val="20"/>
        </w:rPr>
        <w:t xml:space="preserve">Document data provenance and lineage in Model Cards</w:t>
      </w:r>
    </w:p>
    <w:p>
      <w:pPr>
        <w:pStyle w:val="ListParagraph"/>
        <w:numPr>
          <w:ilvl w:val="0"/>
          <w:numId w:val="2"/>
        </w:numPr>
        <w:spacing w:after="60"/>
      </w:pPr>
      <w:r>
        <w:rPr>
          <w:rFonts w:ascii="Arial" w:cs="Arial" w:eastAsia="Arial" w:hAnsi="Arial"/>
          <w:color w:val="6B6560"/>
          <w:sz w:val="20"/>
          <w:szCs w:val="20"/>
        </w:rPr>
        <w:t xml:space="preserve">Flag data quality issues that could affect AI system reliability</w:t>
      </w:r>
    </w:p>
    <w:p>
      <w:pPr>
        <w:pStyle w:val="ListParagraph"/>
        <w:numPr>
          <w:ilvl w:val="0"/>
          <w:numId w:val="2"/>
        </w:numPr>
        <w:spacing w:after="60"/>
      </w:pPr>
      <w:r>
        <w:rPr>
          <w:rFonts w:ascii="Arial" w:cs="Arial" w:eastAsia="Arial" w:hAnsi="Arial"/>
          <w:color w:val="6B6560"/>
          <w:sz w:val="20"/>
          <w:szCs w:val="20"/>
        </w:rPr>
        <w:t xml:space="preserve">Coordinate with the Data Governance Lead on data standards</w:t>
      </w:r>
    </w:p>
    <w:p>
      <w:pPr>
        <w:spacing w:after="40"/>
      </w:pPr>
    </w:p>
    <w:p>
      <w:pPr>
        <w:pStyle w:val="Heading2"/>
        <w:spacing w:before="240" w:after="120"/>
      </w:pPr>
      <w:r>
        <w:rPr>
          <w:rFonts w:ascii="Georgia" w:cs="Georgia" w:eastAsia="Georgia" w:hAnsi="Georgia"/>
          <w:b/>
          <w:bCs/>
          <w:color w:val="8B7355"/>
          <w:sz w:val="24"/>
          <w:szCs w:val="24"/>
        </w:rPr>
        <w:t xml:space="preserve">Recommended Qualifications</w:t>
      </w:r>
    </w:p>
    <w:p>
      <w:pPr>
        <w:pStyle w:val="ListParagraph"/>
        <w:numPr>
          <w:ilvl w:val="0"/>
          <w:numId w:val="2"/>
        </w:numPr>
        <w:spacing w:after="60"/>
      </w:pPr>
      <w:r>
        <w:rPr>
          <w:rFonts w:ascii="Arial" w:cs="Arial" w:eastAsia="Arial" w:hAnsi="Arial"/>
          <w:color w:val="6B6560"/>
          <w:sz w:val="20"/>
          <w:szCs w:val="20"/>
        </w:rPr>
        <w:t xml:space="preserve">Understanding of data quality principles and metrics</w:t>
      </w:r>
    </w:p>
    <w:p>
      <w:pPr>
        <w:pStyle w:val="ListParagraph"/>
        <w:numPr>
          <w:ilvl w:val="0"/>
          <w:numId w:val="2"/>
        </w:numPr>
        <w:spacing w:after="60"/>
      </w:pPr>
      <w:r>
        <w:rPr>
          <w:rFonts w:ascii="Arial" w:cs="Arial" w:eastAsia="Arial" w:hAnsi="Arial"/>
          <w:color w:val="6B6560"/>
          <w:sz w:val="20"/>
          <w:szCs w:val="20"/>
        </w:rPr>
        <w:t xml:space="preserve">Familiarity with data privacy regulations (GDPR, CCPA, HIPAA as applicable)</w:t>
      </w:r>
    </w:p>
    <w:p>
      <w:pPr>
        <w:pStyle w:val="ListParagraph"/>
        <w:numPr>
          <w:ilvl w:val="0"/>
          <w:numId w:val="2"/>
        </w:numPr>
        <w:spacing w:after="60"/>
      </w:pPr>
      <w:r>
        <w:rPr>
          <w:rFonts w:ascii="Arial" w:cs="Arial" w:eastAsia="Arial" w:hAnsi="Arial"/>
          <w:color w:val="6B6560"/>
          <w:sz w:val="20"/>
          <w:szCs w:val="20"/>
        </w:rPr>
        <w:t xml:space="preserve">Ability to assess data fitness for AI model training and inference</w:t>
      </w:r>
    </w:p>
    <w:p>
      <w:pPr>
        <w:pStyle w:val="ListParagraph"/>
        <w:numPr>
          <w:ilvl w:val="0"/>
          <w:numId w:val="2"/>
        </w:numPr>
        <w:spacing w:after="60"/>
      </w:pPr>
      <w:r>
        <w:rPr>
          <w:rFonts w:ascii="Arial" w:cs="Arial" w:eastAsia="Arial" w:hAnsi="Arial"/>
          <w:color w:val="6B6560"/>
          <w:sz w:val="20"/>
          <w:szCs w:val="20"/>
        </w:rPr>
        <w:t xml:space="preserve">Experience with data catalogs, lineage tools, or data governance platforms</w:t>
      </w:r>
    </w:p>
    <w:p>
      <w:pPr>
        <w:spacing w:after="40"/>
      </w:pPr>
    </w:p>
    <w:p>
      <w:pPr>
        <w:spacing w:after="80"/>
      </w:pPr>
      <w:r>
        <w:rPr>
          <w:rFonts w:ascii="Arial" w:cs="Arial" w:eastAsia="Arial" w:hAnsi="Arial"/>
          <w:b/>
          <w:bCs/>
          <w:color w:val="2A2520"/>
          <w:sz w:val="20"/>
          <w:szCs w:val="20"/>
        </w:rPr>
        <w:t xml:space="preserve">Time Commitment: </w:t>
      </w:r>
      <w:r>
        <w:rPr>
          <w:rFonts w:ascii="Arial" w:cs="Arial" w:eastAsia="Arial" w:hAnsi="Arial"/>
          <w:color w:val="6B6560"/>
          <w:sz w:val="20"/>
          <w:szCs w:val="20"/>
        </w:rPr>
        <w:t xml:space="preserve">3–5 hours/week (higher during new system onboarding)</w:t>
      </w:r>
    </w:p>
    <w:p>
      <w:pPr>
        <w:spacing w:after="80"/>
      </w:pPr>
      <w:r>
        <w:rPr>
          <w:rFonts w:ascii="Arial" w:cs="Arial" w:eastAsia="Arial" w:hAnsi="Arial"/>
          <w:b/>
          <w:bCs/>
          <w:color w:val="2A2520"/>
          <w:sz w:val="20"/>
          <w:szCs w:val="20"/>
        </w:rPr>
        <w:t xml:space="preserve">Gate Activities: </w:t>
      </w:r>
      <w:r>
        <w:rPr>
          <w:rFonts w:ascii="Arial" w:cs="Arial" w:eastAsia="Arial" w:hAnsi="Arial"/>
          <w:color w:val="6B6560"/>
          <w:sz w:val="20"/>
          <w:szCs w:val="20"/>
        </w:rPr>
        <w:t xml:space="preserve">Gate 0: Assesses data availability. Gate 1: Validates data readiness and quality. Gate 2: Confirms data monitoring is in place. Gate 3: Reports on data quality trends.</w:t>
      </w:r>
    </w:p>
    <w:p>
      <w:r>
        <w:br w:type="page"/>
      </w:r>
    </w:p>
    <w:p>
      <w:pPr>
        <w:pStyle w:val="Heading1"/>
        <w:spacing w:before="300" w:after="160"/>
      </w:pPr>
      <w:r>
        <w:rPr>
          <w:rFonts w:ascii="Georgia" w:cs="Georgia" w:eastAsia="Georgia" w:hAnsi="Georgia"/>
          <w:b/>
          <w:bCs/>
          <w:color w:val="2A2520"/>
          <w:sz w:val="28"/>
          <w:szCs w:val="28"/>
        </w:rPr>
        <w:t xml:space="preserve">5. Change Champion</w:t>
      </w:r>
    </w:p>
    <w:p>
      <w:pPr>
        <w:spacing w:after="100"/>
      </w:pPr>
      <w:r>
        <w:rPr>
          <w:rFonts w:ascii="Arial" w:cs="Arial" w:eastAsia="Arial" w:hAnsi="Arial"/>
          <w:b/>
          <w:bCs/>
          <w:i/>
          <w:iCs/>
          <w:color w:val="8B7355"/>
          <w:sz w:val="20"/>
          <w:szCs w:val="20"/>
        </w:rPr>
        <w:t xml:space="preserve">The People Bridge</w:t>
      </w:r>
    </w:p>
    <w:p>
      <w:pPr>
        <w:spacing w:after="40"/>
      </w:pPr>
    </w:p>
    <w:p>
      <w:pPr>
        <w:spacing w:after="80"/>
      </w:pPr>
      <w:r>
        <w:rPr>
          <w:rFonts w:ascii="Arial" w:cs="Arial" w:eastAsia="Arial" w:hAnsi="Arial"/>
          <w:b/>
          <w:bCs/>
          <w:color w:val="2A2520"/>
          <w:sz w:val="20"/>
          <w:szCs w:val="20"/>
        </w:rPr>
        <w:t xml:space="preserve">Purpose: </w:t>
      </w:r>
      <w:r>
        <w:rPr>
          <w:rFonts w:ascii="Arial" w:cs="Arial" w:eastAsia="Arial" w:hAnsi="Arial"/>
          <w:color w:val="6B6560"/>
          <w:sz w:val="20"/>
          <w:szCs w:val="20"/>
        </w:rPr>
        <w:t xml:space="preserve">The Change Champion ensures the workforce is ready for, supported through, and adopting AI systems effectively. They bridge the gap between governance and the human experience of AI adoption.</w:t>
      </w:r>
    </w:p>
    <w:p>
      <w:pPr>
        <w:spacing w:after="40"/>
      </w:pPr>
    </w:p>
    <w:p>
      <w:pPr>
        <w:pStyle w:val="Heading2"/>
        <w:spacing w:before="240" w:after="120"/>
      </w:pPr>
      <w:r>
        <w:rPr>
          <w:rFonts w:ascii="Georgia" w:cs="Georgia" w:eastAsia="Georgia" w:hAnsi="Georgia"/>
          <w:b/>
          <w:bCs/>
          <w:color w:val="8B7355"/>
          <w:sz w:val="24"/>
          <w:szCs w:val="24"/>
        </w:rPr>
        <w:t xml:space="preserve">Responsibilities</w:t>
      </w:r>
    </w:p>
    <w:p>
      <w:pPr>
        <w:pStyle w:val="ListParagraph"/>
        <w:numPr>
          <w:ilvl w:val="0"/>
          <w:numId w:val="2"/>
        </w:numPr>
        <w:spacing w:after="60"/>
      </w:pPr>
      <w:r>
        <w:rPr>
          <w:rFonts w:ascii="Arial" w:cs="Arial" w:eastAsia="Arial" w:hAnsi="Arial"/>
          <w:color w:val="6B6560"/>
          <w:sz w:val="20"/>
          <w:szCs w:val="20"/>
        </w:rPr>
        <w:t xml:space="preserve">Assess workforce readiness using the Three-Register framework (Workflow, Professional Identity, Existential resistance)</w:t>
      </w:r>
    </w:p>
    <w:p>
      <w:pPr>
        <w:pStyle w:val="ListParagraph"/>
        <w:numPr>
          <w:ilvl w:val="0"/>
          <w:numId w:val="2"/>
        </w:numPr>
        <w:spacing w:after="60"/>
      </w:pPr>
      <w:r>
        <w:rPr>
          <w:rFonts w:ascii="Arial" w:cs="Arial" w:eastAsia="Arial" w:hAnsi="Arial"/>
          <w:color w:val="6B6560"/>
          <w:sz w:val="20"/>
          <w:szCs w:val="20"/>
        </w:rPr>
        <w:t xml:space="preserve">Coordinate AI training and enablement activities for the BU</w:t>
      </w:r>
    </w:p>
    <w:p>
      <w:pPr>
        <w:pStyle w:val="ListParagraph"/>
        <w:numPr>
          <w:ilvl w:val="0"/>
          <w:numId w:val="2"/>
        </w:numPr>
        <w:spacing w:after="60"/>
      </w:pPr>
      <w:r>
        <w:rPr>
          <w:rFonts w:ascii="Arial" w:cs="Arial" w:eastAsia="Arial" w:hAnsi="Arial"/>
          <w:color w:val="6B6560"/>
          <w:sz w:val="20"/>
          <w:szCs w:val="20"/>
        </w:rPr>
        <w:t xml:space="preserve">Track adoption metrics: usage rates, quality of use, support requests</w:t>
      </w:r>
    </w:p>
    <w:p>
      <w:pPr>
        <w:pStyle w:val="ListParagraph"/>
        <w:numPr>
          <w:ilvl w:val="0"/>
          <w:numId w:val="2"/>
        </w:numPr>
        <w:spacing w:after="60"/>
      </w:pPr>
      <w:r>
        <w:rPr>
          <w:rFonts w:ascii="Arial" w:cs="Arial" w:eastAsia="Arial" w:hAnsi="Arial"/>
          <w:color w:val="6B6560"/>
          <w:sz w:val="20"/>
          <w:szCs w:val="20"/>
        </w:rPr>
        <w:t xml:space="preserve">Surface workforce concerns to the Ethics &amp; Impact Lead</w:t>
      </w:r>
    </w:p>
    <w:p>
      <w:pPr>
        <w:pStyle w:val="ListParagraph"/>
        <w:numPr>
          <w:ilvl w:val="0"/>
          <w:numId w:val="2"/>
        </w:numPr>
        <w:spacing w:after="60"/>
      </w:pPr>
      <w:r>
        <w:rPr>
          <w:rFonts w:ascii="Arial" w:cs="Arial" w:eastAsia="Arial" w:hAnsi="Arial"/>
          <w:color w:val="6B6560"/>
          <w:sz w:val="20"/>
          <w:szCs w:val="20"/>
        </w:rPr>
        <w:t xml:space="preserve">Support stakeholder communication for new AI deployments</w:t>
      </w:r>
    </w:p>
    <w:p>
      <w:pPr>
        <w:pStyle w:val="ListParagraph"/>
        <w:numPr>
          <w:ilvl w:val="0"/>
          <w:numId w:val="2"/>
        </w:numPr>
        <w:spacing w:after="60"/>
      </w:pPr>
      <w:r>
        <w:rPr>
          <w:rFonts w:ascii="Arial" w:cs="Arial" w:eastAsia="Arial" w:hAnsi="Arial"/>
          <w:color w:val="6B6560"/>
          <w:sz w:val="20"/>
          <w:szCs w:val="20"/>
        </w:rPr>
        <w:t xml:space="preserve">Run or coordinate change management interventions per register</w:t>
      </w:r>
    </w:p>
    <w:p>
      <w:pPr>
        <w:pStyle w:val="ListParagraph"/>
        <w:numPr>
          <w:ilvl w:val="0"/>
          <w:numId w:val="2"/>
        </w:numPr>
        <w:spacing w:after="60"/>
      </w:pPr>
      <w:r>
        <w:rPr>
          <w:rFonts w:ascii="Arial" w:cs="Arial" w:eastAsia="Arial" w:hAnsi="Arial"/>
          <w:color w:val="6B6560"/>
          <w:sz w:val="20"/>
          <w:szCs w:val="20"/>
        </w:rPr>
        <w:t xml:space="preserve">Monitor for shadow AI as a signal of unmet adoption needs</w:t>
      </w:r>
    </w:p>
    <w:p>
      <w:pPr>
        <w:spacing w:after="40"/>
      </w:pPr>
    </w:p>
    <w:p>
      <w:pPr>
        <w:pStyle w:val="Heading2"/>
        <w:spacing w:before="240" w:after="120"/>
      </w:pPr>
      <w:r>
        <w:rPr>
          <w:rFonts w:ascii="Georgia" w:cs="Georgia" w:eastAsia="Georgia" w:hAnsi="Georgia"/>
          <w:b/>
          <w:bCs/>
          <w:color w:val="8B7355"/>
          <w:sz w:val="24"/>
          <w:szCs w:val="24"/>
        </w:rPr>
        <w:t xml:space="preserve">Recommended Qualifications</w:t>
      </w:r>
    </w:p>
    <w:p>
      <w:pPr>
        <w:pStyle w:val="ListParagraph"/>
        <w:numPr>
          <w:ilvl w:val="0"/>
          <w:numId w:val="2"/>
        </w:numPr>
        <w:spacing w:after="60"/>
      </w:pPr>
      <w:r>
        <w:rPr>
          <w:rFonts w:ascii="Arial" w:cs="Arial" w:eastAsia="Arial" w:hAnsi="Arial"/>
          <w:color w:val="6B6560"/>
          <w:sz w:val="20"/>
          <w:szCs w:val="20"/>
        </w:rPr>
        <w:t xml:space="preserve">Experience with change management or organizational development</w:t>
      </w:r>
    </w:p>
    <w:p>
      <w:pPr>
        <w:pStyle w:val="ListParagraph"/>
        <w:numPr>
          <w:ilvl w:val="0"/>
          <w:numId w:val="2"/>
        </w:numPr>
        <w:spacing w:after="60"/>
      </w:pPr>
      <w:r>
        <w:rPr>
          <w:rFonts w:ascii="Arial" w:cs="Arial" w:eastAsia="Arial" w:hAnsi="Arial"/>
          <w:color w:val="6B6560"/>
          <w:sz w:val="20"/>
          <w:szCs w:val="20"/>
        </w:rPr>
        <w:t xml:space="preserve">Empathy and communication skills — this role requires trust</w:t>
      </w:r>
    </w:p>
    <w:p>
      <w:pPr>
        <w:pStyle w:val="ListParagraph"/>
        <w:numPr>
          <w:ilvl w:val="0"/>
          <w:numId w:val="2"/>
        </w:numPr>
        <w:spacing w:after="60"/>
      </w:pPr>
      <w:r>
        <w:rPr>
          <w:rFonts w:ascii="Arial" w:cs="Arial" w:eastAsia="Arial" w:hAnsi="Arial"/>
          <w:color w:val="6B6560"/>
          <w:sz w:val="20"/>
          <w:szCs w:val="20"/>
        </w:rPr>
        <w:t xml:space="preserve">Understanding of the AI tools being deployed in the BU</w:t>
      </w:r>
    </w:p>
    <w:p>
      <w:pPr>
        <w:pStyle w:val="ListParagraph"/>
        <w:numPr>
          <w:ilvl w:val="0"/>
          <w:numId w:val="2"/>
        </w:numPr>
        <w:spacing w:after="60"/>
      </w:pPr>
      <w:r>
        <w:rPr>
          <w:rFonts w:ascii="Arial" w:cs="Arial" w:eastAsia="Arial" w:hAnsi="Arial"/>
          <w:color w:val="6B6560"/>
          <w:sz w:val="20"/>
          <w:szCs w:val="20"/>
        </w:rPr>
        <w:t xml:space="preserve">Familiarity with ADKAR or similar change management frameworks</w:t>
      </w:r>
    </w:p>
    <w:p>
      <w:pPr>
        <w:spacing w:after="40"/>
      </w:pPr>
    </w:p>
    <w:p>
      <w:pPr>
        <w:spacing w:after="80"/>
      </w:pPr>
      <w:r>
        <w:rPr>
          <w:rFonts w:ascii="Arial" w:cs="Arial" w:eastAsia="Arial" w:hAnsi="Arial"/>
          <w:b/>
          <w:bCs/>
          <w:color w:val="2A2520"/>
          <w:sz w:val="20"/>
          <w:szCs w:val="20"/>
        </w:rPr>
        <w:t xml:space="preserve">Time Commitment: </w:t>
      </w:r>
      <w:r>
        <w:rPr>
          <w:rFonts w:ascii="Arial" w:cs="Arial" w:eastAsia="Arial" w:hAnsi="Arial"/>
          <w:color w:val="6B6560"/>
          <w:sz w:val="20"/>
          <w:szCs w:val="20"/>
        </w:rPr>
        <w:t xml:space="preserve">3—5 hours/week (higher during new deployments and enablement sprints)</w:t>
      </w:r>
    </w:p>
    <w:p>
      <w:pPr>
        <w:spacing w:after="80"/>
      </w:pPr>
      <w:r>
        <w:rPr>
          <w:rFonts w:ascii="Arial" w:cs="Arial" w:eastAsia="Arial" w:hAnsi="Arial"/>
          <w:b/>
          <w:bCs/>
          <w:color w:val="2A2520"/>
          <w:sz w:val="20"/>
          <w:szCs w:val="20"/>
        </w:rPr>
        <w:t xml:space="preserve">Gate Activities: </w:t>
      </w:r>
      <w:r>
        <w:rPr>
          <w:rFonts w:ascii="Arial" w:cs="Arial" w:eastAsia="Arial" w:hAnsi="Arial"/>
          <w:color w:val="6B6560"/>
          <w:sz w:val="20"/>
          <w:szCs w:val="20"/>
        </w:rPr>
        <w:t xml:space="preserve">Gate 0: Assesses organizational readiness. Gate 1: Identifies affected stakeholders and resistance registers. Gate 2: Confirms change management plan is in place. Gate 3: Reports on adoption and satisfaction.</w:t>
      </w:r>
    </w:p>
    <w:p>
      <w:r>
        <w:br w:type="page"/>
      </w:r>
    </w:p>
    <w:p>
      <w:pPr>
        <w:pStyle w:val="Heading1"/>
        <w:spacing w:before="300" w:after="160"/>
      </w:pPr>
      <w:r>
        <w:rPr>
          <w:rFonts w:ascii="Georgia" w:cs="Georgia" w:eastAsia="Georgia" w:hAnsi="Georgia"/>
          <w:b/>
          <w:bCs/>
          <w:color w:val="2A2520"/>
          <w:sz w:val="28"/>
          <w:szCs w:val="28"/>
        </w:rPr>
        <w:t xml:space="preserve">6. Operating Rhythms</w:t>
      </w:r>
    </w:p>
    <w:p>
      <w:pPr>
        <w:spacing w:after="100"/>
      </w:pPr>
      <w:r>
        <w:rPr>
          <w:rFonts w:ascii="Arial" w:cs="Arial" w:eastAsia="Arial" w:hAnsi="Arial"/>
          <w:color w:val="6B6560"/>
          <w:sz w:val="20"/>
          <w:szCs w:val="20"/>
        </w:rPr>
        <w:t xml:space="preserve">The four roles form a local governance micro-team within each BU. They operate on three cadences: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Cadence</w:t>
            </w:r>
          </w:p>
        </w:tc>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Who</w:t>
            </w:r>
          </w:p>
        </w:tc>
        <w:tc>
          <w:tcPr>
            <w:tcW w:type="dxa" w:w="15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312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Weekly Standup</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All 4 Node roles</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15 min</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Sync on active projects, upcoming gates, emerging issues</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Monthly Hub Sync</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Each role meets hub counterpart</w:t>
            </w:r>
          </w:p>
        </w:tc>
        <w:tc>
          <w:tcPr>
            <w:tcW w:type="dxa" w:w="1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30 min</w:t>
            </w:r>
          </w:p>
        </w:tc>
        <w:tc>
          <w:tcPr>
            <w:tcW w:type="dxa" w:w="312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Share cross-BU patterns, escalate systemic issues, align on standards</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Quarterly Cross-Node Summit</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All Node roles across all BUs</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90 min</w:t>
            </w:r>
          </w:p>
        </w:tc>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Knowledge sharing, framework improvement proposals, pattern library updates</w:t>
            </w:r>
          </w:p>
        </w:tc>
      </w:tr>
    </w:tbl>
    <w:p>
      <w:pPr>
        <w:spacing w:after="80"/>
      </w:pPr>
    </w:p>
    <w:p>
      <w:pPr>
        <w:pStyle w:val="Heading2"/>
        <w:spacing w:before="240" w:after="120"/>
      </w:pPr>
      <w:r>
        <w:rPr>
          <w:rFonts w:ascii="Georgia" w:cs="Georgia" w:eastAsia="Georgia" w:hAnsi="Georgia"/>
          <w:b/>
          <w:bCs/>
          <w:color w:val="8B7355"/>
          <w:sz w:val="24"/>
          <w:szCs w:val="24"/>
        </w:rPr>
        <w:t xml:space="preserve">Weekly Standup Agenda (15 minutes)</w:t>
      </w:r>
    </w:p>
    <w:p>
      <w:pPr>
        <w:spacing w:after="80"/>
      </w:pPr>
      <w:r>
        <w:rPr>
          <w:rFonts w:ascii="Arial" w:cs="Arial" w:eastAsia="Arial" w:hAnsi="Arial"/>
          <w:b/>
          <w:bCs/>
          <w:color w:val="2A2520"/>
          <w:sz w:val="20"/>
          <w:szCs w:val="20"/>
        </w:rPr>
        <w:t xml:space="preserve">AI Lead: </w:t>
      </w:r>
      <w:r>
        <w:rPr>
          <w:rFonts w:ascii="Arial" w:cs="Arial" w:eastAsia="Arial" w:hAnsi="Arial"/>
          <w:color w:val="6B6560"/>
          <w:sz w:val="20"/>
          <w:szCs w:val="20"/>
        </w:rPr>
        <w:t xml:space="preserve">New intake this week? Any gate reviews coming up?</w:t>
      </w:r>
    </w:p>
    <w:p>
      <w:pPr>
        <w:spacing w:after="80"/>
      </w:pPr>
      <w:r>
        <w:rPr>
          <w:rFonts w:ascii="Arial" w:cs="Arial" w:eastAsia="Arial" w:hAnsi="Arial"/>
          <w:b/>
          <w:bCs/>
          <w:color w:val="2A2520"/>
          <w:sz w:val="20"/>
          <w:szCs w:val="20"/>
        </w:rPr>
        <w:t xml:space="preserve">Risk Liaison: </w:t>
      </w:r>
      <w:r>
        <w:rPr>
          <w:rFonts w:ascii="Arial" w:cs="Arial" w:eastAsia="Arial" w:hAnsi="Arial"/>
          <w:color w:val="6B6560"/>
          <w:sz w:val="20"/>
          <w:szCs w:val="20"/>
        </w:rPr>
        <w:t xml:space="preserve">Any risk flags or incidents? Regulatory updates?</w:t>
      </w:r>
    </w:p>
    <w:p>
      <w:pPr>
        <w:spacing w:after="80"/>
      </w:pPr>
      <w:r>
        <w:rPr>
          <w:rFonts w:ascii="Arial" w:cs="Arial" w:eastAsia="Arial" w:hAnsi="Arial"/>
          <w:b/>
          <w:bCs/>
          <w:color w:val="2A2520"/>
          <w:sz w:val="20"/>
          <w:szCs w:val="20"/>
        </w:rPr>
        <w:t xml:space="preserve">Data Steward: </w:t>
      </w:r>
      <w:r>
        <w:rPr>
          <w:rFonts w:ascii="Arial" w:cs="Arial" w:eastAsia="Arial" w:hAnsi="Arial"/>
          <w:color w:val="6B6560"/>
          <w:sz w:val="20"/>
          <w:szCs w:val="20"/>
        </w:rPr>
        <w:t xml:space="preserve">Data quality issues? New data requests?</w:t>
      </w:r>
    </w:p>
    <w:p>
      <w:pPr>
        <w:spacing w:after="80"/>
      </w:pPr>
      <w:r>
        <w:rPr>
          <w:rFonts w:ascii="Arial" w:cs="Arial" w:eastAsia="Arial" w:hAnsi="Arial"/>
          <w:b/>
          <w:bCs/>
          <w:color w:val="2A2520"/>
          <w:sz w:val="20"/>
          <w:szCs w:val="20"/>
        </w:rPr>
        <w:t xml:space="preserve">Change Champion: </w:t>
      </w:r>
      <w:r>
        <w:rPr>
          <w:rFonts w:ascii="Arial" w:cs="Arial" w:eastAsia="Arial" w:hAnsi="Arial"/>
          <w:color w:val="6B6560"/>
          <w:sz w:val="20"/>
          <w:szCs w:val="20"/>
        </w:rPr>
        <w:t xml:space="preserve">Adoption blockers? Workforce concerns? Shadow AI signals?</w:t>
      </w:r>
    </w:p>
    <w:p>
      <w:r>
        <w:br w:type="page"/>
      </w:r>
    </w:p>
    <w:p>
      <w:pPr>
        <w:pStyle w:val="Heading1"/>
        <w:spacing w:before="300" w:after="160"/>
      </w:pPr>
      <w:r>
        <w:rPr>
          <w:rFonts w:ascii="Georgia" w:cs="Georgia" w:eastAsia="Georgia" w:hAnsi="Georgia"/>
          <w:b/>
          <w:bCs/>
          <w:color w:val="2A2520"/>
          <w:sz w:val="28"/>
          <w:szCs w:val="28"/>
        </w:rPr>
        <w:t xml:space="preserve">7. AI Lead Certification Outline</w:t>
      </w:r>
    </w:p>
    <w:p>
      <w:pPr>
        <w:spacing w:after="100"/>
      </w:pPr>
      <w:r>
        <w:rPr>
          <w:rFonts w:ascii="Arial" w:cs="Arial" w:eastAsia="Arial" w:hAnsi="Arial"/>
          <w:color w:val="6B6560"/>
          <w:sz w:val="20"/>
          <w:szCs w:val="20"/>
        </w:rPr>
        <w:t xml:space="preserve">AI Leads should complete a certification program before independently managing Express Lane approvals. This is a 4-hour program covering: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15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54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1. Governance Framework</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60 min</w:t>
            </w:r>
          </w:p>
        </w:tc>
        <w:tc>
          <w:tcPr>
            <w:tcW w:type="dxa" w:w="54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10-layer architecture overview, three governance lanes, design principles</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2. Risk Assessment</w:t>
            </w:r>
          </w:p>
        </w:tc>
        <w:tc>
          <w:tcPr>
            <w:tcW w:type="dxa" w:w="1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60 min</w:t>
            </w:r>
          </w:p>
        </w:tc>
        <w:tc>
          <w:tcPr>
            <w:tcW w:type="dxa" w:w="54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Hands-on: complete a Risk Assessment Questionnaire on a real system, score in the matrix, classify and route</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3. Gate Mechanics</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60 min</w:t>
            </w:r>
          </w:p>
        </w:tc>
        <w:tc>
          <w:tcPr>
            <w:tcW w:type="dxa" w:w="54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Gate 0–3 process, checklist walkthroughs, Model Card completion, approval protocols</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4. Practical Exercise</w:t>
            </w:r>
          </w:p>
        </w:tc>
        <w:tc>
          <w:tcPr>
            <w:tcW w:type="dxa" w:w="1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60 min</w:t>
            </w:r>
          </w:p>
        </w:tc>
        <w:tc>
          <w:tcPr>
            <w:tcW w:type="dxa" w:w="54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Scenario-based: classify 3 AI systems, route them, identify the one that needs escalation, draft a Model Card</w:t>
            </w:r>
          </w:p>
        </w:tc>
      </w:tr>
    </w:tbl>
    <w:p>
      <w:pPr>
        <w:spacing w:after="60"/>
      </w:pPr>
    </w:p>
    <w:p>
      <w:pPr>
        <w:spacing w:after="100"/>
      </w:pPr>
      <w:r>
        <w:rPr>
          <w:rFonts w:ascii="Arial" w:cs="Arial" w:eastAsia="Arial" w:hAnsi="Arial"/>
          <w:b/>
          <w:bCs/>
          <w:color w:val="2A2520"/>
          <w:sz w:val="20"/>
          <w:szCs w:val="20"/>
        </w:rPr>
        <w:t xml:space="preserve">Completion of certification authorizes the AI Lead to independently approve Express Lane deployments and manage intake for their BU.</w:t>
      </w:r>
    </w:p>
    <w:p>
      <w:pPr>
        <w:spacing w:after="120"/>
      </w:pPr>
    </w:p>
    <w:p>
      <w:pPr>
        <w:pStyle w:val="Heading1"/>
        <w:spacing w:before="300" w:after="160"/>
      </w:pPr>
      <w:r>
        <w:rPr>
          <w:rFonts w:ascii="Georgia" w:cs="Georgia" w:eastAsia="Georgia" w:hAnsi="Georgia"/>
          <w:b/>
          <w:bCs/>
          <w:color w:val="2A2520"/>
          <w:sz w:val="28"/>
          <w:szCs w:val="28"/>
        </w:rPr>
        <w:t xml:space="preserve">8. Staffing Guide</w:t>
      </w:r>
    </w:p>
    <w:p>
      <w:pPr>
        <w:spacing w:after="100"/>
      </w:pPr>
      <w:r>
        <w:rPr>
          <w:rFonts w:ascii="Arial" w:cs="Arial" w:eastAsia="Arial" w:hAnsi="Arial"/>
          <w:color w:val="6B6560"/>
          <w:sz w:val="20"/>
          <w:szCs w:val="20"/>
        </w:rPr>
        <w:t xml:space="preserve">Where to find people for each role: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351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Typical Home Function</w:t>
            </w:r>
          </w:p>
        </w:tc>
        <w:tc>
          <w:tcPr>
            <w:tcW w:type="dxa" w:w="351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Look For</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AI Lead</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Product, engineering, operations, or the person already championing AI informally</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Someone with credibility across technical and business teams; often the person already doing this without the title</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Risk Liaison</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Risk management, compliance, legal, internal audit, or security</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Someone who understands risk frameworks and can translate technical risks into business language</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Data Steward</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Data engineering, BI/analytics, data management, or IT</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Someone who knows where the data lives, how it flows, and what its quality looks like</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Change Champion</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HR, L&amp;D, org development, communications, or a respected people leader</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Someone people trust; good listener; can identify resistance early and navigate difficult conversations</w:t>
            </w:r>
          </w:p>
        </w:tc>
      </w:tr>
    </w:tbl>
    <w:p>
      <w:pPr>
        <w:spacing w:after="200"/>
      </w:pPr>
    </w:p>
    <w:p>
      <w:pPr>
        <w:spacing w:after="100"/>
      </w:pPr>
      <w:r>
        <w:rPr>
          <w:rFonts w:ascii="Arial" w:cs="Arial" w:eastAsia="Arial" w:hAnsi="Arial"/>
          <w:color w:val="6B6560"/>
          <w:sz w:val="20"/>
          <w:szCs w:val="20"/>
        </w:rPr>
        <w:t xml:space="preserve">© 2026 Gordon Chan / Creative Precision. All rights reserved.</w:t>
      </w:r>
    </w:p>
    <w:p>
      <w:pPr>
        <w:spacing w:after="100"/>
      </w:pPr>
      <w:r>
        <w:rPr>
          <w:rFonts w:ascii="Arial" w:cs="Arial" w:eastAsia="Arial" w:hAnsi="Arial"/>
          <w:i/>
          <w:iCs/>
          <w:color w:val="6B6560"/>
          <w:sz w:val="20"/>
          <w:szCs w:val="20"/>
        </w:rPr>
        <w:t xml:space="preserve">Licensed for use by the purchasing organization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4"/>
        <w:szCs w:val="14"/>
      </w:rPr>
      <w:t xml:space="preserve">© 2026 Gordon Chan / Creative Precision  |  Licensed for organizational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1" w:space="4"/>
      </w:pBdr>
      <w:jc w:val="right"/>
    </w:pPr>
    <w:r>
      <w:rPr>
        <w:rFonts w:ascii="Arial" w:cs="Arial" w:eastAsia="Arial" w:hAnsi="Arial"/>
        <w:b/>
        <w:bCs/>
        <w:color w:val="8B7355"/>
        <w:sz w:val="14"/>
        <w:szCs w:val="14"/>
      </w:rPr>
      <w:t xml:space="preserve">CREATIVE PRECISION</w:t>
    </w:r>
    <w:r>
      <w:rPr>
        <w:rFonts w:ascii="Arial" w:cs="Arial" w:eastAsia="Arial" w:hAnsi="Arial"/>
        <w:color w:val="6B6560"/>
        <w:sz w:val="14"/>
        <w:szCs w:val="14"/>
      </w:rPr>
      <w:t xml:space="preserve">  |  Governance-in-a-Box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Georgia" w:cs="Georgia" w:eastAsia="Georgia" w:hAnsi="Georgia"/>
      <w:b/>
      <w:bCs/>
      <w:color w:val="2A2520"/>
      <w:sz w:val="28"/>
      <w:szCs w:val="28"/>
    </w:rPr>
  </w:style>
  <w:style w:type="paragraph" w:styleId="Heading2">
    <w:name w:val="Heading 2"/>
    <w:basedOn w:val="Normal"/>
    <w:next w:val="Normal"/>
    <w:qFormat/>
    <w:pPr>
      <w:spacing w:before="240" w:after="120"/>
      <w:outlineLvl w:val="1"/>
    </w:pPr>
    <w:rPr>
      <w:rFonts w:ascii="Georgia" w:cs="Georgia" w:eastAsia="Georgia" w:hAnsi="Georgia"/>
      <w:b/>
      <w:bCs/>
      <w:color w:val="8B7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2026-02-26T04:52:37.837Z</dcterms:created>
  <dcterms:modified xsi:type="dcterms:W3CDTF">2026-02-26T04:52:37.838Z</dcterms:modified>
</cp:coreProperties>
</file>

<file path=docProps/custom.xml><?xml version="1.0" encoding="utf-8"?>
<Properties xmlns="http://schemas.openxmlformats.org/officeDocument/2006/custom-properties" xmlns:vt="http://schemas.openxmlformats.org/officeDocument/2006/docPropsVTypes"/>
</file>