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r>
        <w:rPr>
          <w:rFonts w:ascii="Georgia" w:cs="Georgia" w:eastAsia="Georgia" w:hAnsi="Georgia"/>
          <w:b/>
          <w:bCs/>
          <w:color w:val="2A2520"/>
          <w:sz w:val="48"/>
          <w:szCs w:val="48"/>
        </w:rPr>
        <w:t xml:space="preserve">START HERE</w:t>
      </w:r>
    </w:p>
    <w:p>
      <w:pPr>
        <w:spacing w:after="40"/>
      </w:pPr>
      <w:r>
        <w:rPr>
          <w:rFonts w:ascii="Georgia" w:cs="Georgia" w:eastAsia="Georgia" w:hAnsi="Georgia"/>
          <w:color w:val="8B7355"/>
          <w:sz w:val="32"/>
          <w:szCs w:val="32"/>
        </w:rPr>
        <w:t xml:space="preserve">Risk &amp; Routing Toolkit</w:t>
      </w:r>
    </w:p>
    <w:p>
      <w:pPr>
        <w:pBdr>
          <w:bottom w:val="single" w:color="8B7355" w:sz="4" w:space="8"/>
        </w:pBdr>
        <w:spacing w:after="200"/>
      </w:pPr>
    </w:p>
    <w:p>
      <w:pPr>
        <w:spacing w:after="100"/>
      </w:pPr>
      <w:r>
        <w:rPr>
          <w:rFonts w:ascii="Arial" w:cs="Arial" w:eastAsia="Arial" w:hAnsi="Arial"/>
          <w:color w:val="6B6560"/>
          <w:sz w:val="20"/>
          <w:szCs w:val="20"/>
        </w:rPr>
        <w:t xml:space="preserve">Classify any AI system by risk level and route it to the right governance lane — in under an hour.</w:t>
      </w:r>
    </w:p>
    <w:p>
      <w:pPr>
        <w:spacing w:after="60"/>
      </w:pPr>
    </w:p>
    <w:p>
      <w:pPr>
        <w:spacing w:after="100"/>
      </w:pPr>
      <w:r>
        <w:rPr>
          <w:rFonts w:ascii="Arial" w:cs="Arial" w:eastAsia="Arial" w:hAnsi="Arial"/>
          <w:i/>
          <w:iCs/>
          <w:color w:val="6B6560"/>
          <w:sz w:val="20"/>
          <w:szCs w:val="20"/>
        </w:rPr>
        <w:t xml:space="preserve">This guide walks you through everything in the toolkit: what each template does, how they connect, and how to get operational in your first week.</w:t>
      </w:r>
    </w:p>
    <w:p>
      <w:pPr>
        <w:spacing w:after="200"/>
      </w:pPr>
    </w:p>
    <w:p>
      <w:pPr>
        <w:pStyle w:val="Heading2"/>
        <w:spacing w:before="240" w:after="120"/>
      </w:pPr>
      <w:r>
        <w:rPr>
          <w:rFonts w:ascii="Georgia" w:cs="Georgia" w:eastAsia="Georgia" w:hAnsi="Georgia"/>
          <w:b/>
          <w:bCs/>
          <w:color w:val="8B7355"/>
          <w:sz w:val="24"/>
          <w:szCs w:val="24"/>
        </w:rPr>
        <w:t xml:space="preserve">What’s in This Toolkit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400"/>
        <w:gridCol w:w="1960"/>
      </w:tblGrid>
      <w:tr>
        <w:tc>
          <w:tcPr>
            <w:tcW w:type="dxa" w:w="40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34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c>
          <w:tcPr>
            <w:tcW w:type="dxa" w:w="19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r>
      <w:tr>
        <w:tc>
          <w:tcPr>
            <w:tcW w:type="dxa" w:w="4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AI Risk Assessment Questionnaire</w:t>
            </w:r>
          </w:p>
        </w:tc>
        <w:tc>
          <w:tcPr>
            <w:tcW w:type="dxa" w:w="3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25 scored questions across 5 risk dimensions</w:t>
            </w:r>
          </w:p>
        </w:tc>
        <w:tc>
          <w:tcPr>
            <w:tcW w:type="dxa" w:w="19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.docx (editable)</w:t>
            </w:r>
          </w:p>
        </w:tc>
      </w:tr>
      <w:tr>
        <w:tc>
          <w:tcPr>
            <w:tcW w:type="dxa" w:w="4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Risk Scoring Matrix</w:t>
            </w:r>
          </w:p>
        </w:tc>
        <w:tc>
          <w:tcPr>
            <w:tcW w:type="dxa" w:w="3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Auto-calculates risk tier and governance lane</w:t>
            </w:r>
          </w:p>
        </w:tc>
        <w:tc>
          <w:tcPr>
            <w:tcW w:type="dxa" w:w="19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.xlsx (formulas)</w:t>
            </w:r>
          </w:p>
        </w:tc>
      </w:tr>
      <w:tr>
        <w:tc>
          <w:tcPr>
            <w:tcW w:type="dxa" w:w="4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Routing Decision Tree</w:t>
            </w:r>
          </w:p>
        </w:tc>
        <w:tc>
          <w:tcPr>
            <w:tcW w:type="dxa" w:w="3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Visual flowchart: score → tier → lane</w:t>
            </w:r>
          </w:p>
        </w:tc>
        <w:tc>
          <w:tcPr>
            <w:tcW w:type="dxa" w:w="19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.pdf (print-ready)</w:t>
            </w:r>
          </w:p>
        </w:tc>
      </w:tr>
      <w:tr>
        <w:tc>
          <w:tcPr>
            <w:tcW w:type="dxa" w:w="4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Multi-Speed Lane Documentation</w:t>
            </w:r>
          </w:p>
        </w:tc>
        <w:tc>
          <w:tcPr>
            <w:tcW w:type="dxa" w:w="3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Full specs for Express, Standard, and Strategic lanes</w:t>
            </w:r>
          </w:p>
        </w:tc>
        <w:tc>
          <w:tcPr>
            <w:tcW w:type="dxa" w:w="19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.docx (reference)</w:t>
            </w:r>
          </w:p>
        </w:tc>
      </w:tr>
      <w:tr>
        <w:tc>
          <w:tcPr>
            <w:tcW w:type="dxa" w:w="4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AI Use Policy Template</w:t>
            </w:r>
          </w:p>
        </w:tc>
        <w:tc>
          <w:tcPr>
            <w:tcW w:type="dxa" w:w="3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Org-wide AI acceptable use policy, ready to customize</w:t>
            </w:r>
          </w:p>
        </w:tc>
        <w:tc>
          <w:tcPr>
            <w:tcW w:type="dxa" w:w="19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.docx (editable)</w:t>
            </w:r>
          </w:p>
        </w:tc>
      </w:tr>
    </w:tbl>
    <w:p>
      <w:r>
        <w:br w:type="page"/>
      </w:r>
    </w:p>
    <w:p>
      <w:pPr>
        <w:pStyle w:val="Heading1"/>
        <w:spacing w:before="300" w:after="160"/>
      </w:pPr>
      <w:r>
        <w:rPr>
          <w:rFonts w:ascii="Georgia" w:cs="Georgia" w:eastAsia="Georgia" w:hAnsi="Georgia"/>
          <w:b/>
          <w:bCs/>
          <w:color w:val="2A2520"/>
          <w:sz w:val="30"/>
          <w:szCs w:val="30"/>
        </w:rPr>
        <w:t xml:space="preserve">How the System Works</w:t>
      </w:r>
    </w:p>
    <w:p>
      <w:pPr>
        <w:spacing w:after="100"/>
      </w:pPr>
      <w:r>
        <w:rPr>
          <w:rFonts w:ascii="Arial" w:cs="Arial" w:eastAsia="Arial" w:hAnsi="Arial"/>
          <w:color w:val="6B6560"/>
          <w:sz w:val="20"/>
          <w:szCs w:val="20"/>
        </w:rPr>
        <w:t xml:space="preserve">The toolkit uses a three-step process to classify and route any AI initiative: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D5D0C8" w:sz="1"/>
              <w:bottom w:val="single" w:color="D5D0C8" w:sz="1"/>
              <w:right w:val="single" w:color="D5D0C8" w:sz="1"/>
            </w:tcBorders>
            <w:shd w:fill="F9F7F3" w:val="clear"/>
            <w:tcMar>
              <w:top w:type="dxa" w:w="120"/>
              <w:left w:type="dxa" w:w="200"/>
              <w:bottom w:type="dxa" w:w="120"/>
              <w:right w:type="dxa" w:w="200"/>
            </w:tcMar>
          </w:tcPr>
          <w:p>
            <w:pPr>
              <w:spacing w:after="80"/>
            </w:pPr>
            <w:r>
              <w:rPr>
                <w:rFonts w:ascii="Georgia" w:cs="Georgia" w:eastAsia="Georgia" w:hAnsi="Georgia"/>
                <w:b/>
                <w:bCs/>
                <w:color w:val="2A2520"/>
                <w:sz w:val="22"/>
                <w:szCs w:val="22"/>
              </w:rPr>
              <w:t xml:space="preserve">STEP 1: ASSESS</w:t>
            </w:r>
          </w:p>
          <w:p>
            <w:pPr>
              <w:spacing w:after="60"/>
            </w:pPr>
            <w:r>
              <w:rPr>
                <w:rFonts w:ascii="Arial" w:cs="Arial" w:eastAsia="Arial" w:hAnsi="Arial"/>
                <w:color w:val="6B6560"/>
                <w:sz w:val="18"/>
                <w:szCs w:val="18"/>
              </w:rPr>
              <w:t xml:space="preserve">Use the AI Risk Assessment Questionnaire to score your AI system across 5 dimensions: Data &amp; Privacy, Decision Impact, Technical Complexity, Organizational Readiness, and Regulatory Compliance. Each question has three response options with clear descriptors.</w:t>
            </w:r>
          </w:p>
          <w:p>
            <w:r>
              <w:rPr>
                <w:rFonts w:ascii="Arial" w:cs="Arial" w:eastAsia="Arial" w:hAnsi="Arial"/>
                <w:b/>
                <w:bCs/>
                <w:color w:val="8B7355"/>
                <w:sz w:val="16"/>
                <w:szCs w:val="16"/>
              </w:rPr>
              <w:t xml:space="preserve">Template: Questionnaire + Scoring Matrix</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D5D0C8" w:sz="1"/>
              <w:bottom w:val="single" w:color="D5D0C8" w:sz="1"/>
              <w:right w:val="single" w:color="D5D0C8" w:sz="1"/>
            </w:tcBorders>
            <w:shd w:fill="F9F7F3" w:val="clear"/>
            <w:tcMar>
              <w:top w:type="dxa" w:w="120"/>
              <w:left w:type="dxa" w:w="200"/>
              <w:bottom w:type="dxa" w:w="120"/>
              <w:right w:type="dxa" w:w="200"/>
            </w:tcMar>
          </w:tcPr>
          <w:p>
            <w:pPr>
              <w:spacing w:after="80"/>
            </w:pPr>
            <w:r>
              <w:rPr>
                <w:rFonts w:ascii="Georgia" w:cs="Georgia" w:eastAsia="Georgia" w:hAnsi="Georgia"/>
                <w:b/>
                <w:bCs/>
                <w:color w:val="2A2520"/>
                <w:sz w:val="22"/>
                <w:szCs w:val="22"/>
              </w:rPr>
              <w:t xml:space="preserve">STEP 2: CLASSIFY</w:t>
            </w:r>
          </w:p>
          <w:p>
            <w:pPr>
              <w:spacing w:after="60"/>
            </w:pPr>
            <w:r>
              <w:rPr>
                <w:rFonts w:ascii="Arial" w:cs="Arial" w:eastAsia="Arial" w:hAnsi="Arial"/>
                <w:color w:val="6B6560"/>
                <w:sz w:val="18"/>
                <w:szCs w:val="18"/>
              </w:rPr>
              <w:t xml:space="preserve">Enter your scores in the Risk Scoring Matrix. It auto-calculates dimension subtotals, total risk score, risk tier (LOW / MEDIUM / HIGH), and governance lane. An override rule triggers the Strategic Lane if any single dimension scores 13+.</w:t>
            </w:r>
          </w:p>
          <w:p>
            <w:r>
              <w:rPr>
                <w:rFonts w:ascii="Arial" w:cs="Arial" w:eastAsia="Arial" w:hAnsi="Arial"/>
                <w:b/>
                <w:bCs/>
                <w:color w:val="8B7355"/>
                <w:sz w:val="16"/>
                <w:szCs w:val="16"/>
              </w:rPr>
              <w:t xml:space="preserve">Template: Scoring Matrix (auto-calculating)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D5D0C8" w:sz="1"/>
              <w:bottom w:val="single" w:color="D5D0C8" w:sz="1"/>
              <w:right w:val="single" w:color="D5D0C8" w:sz="1"/>
            </w:tcBorders>
            <w:shd w:fill="F9F7F3" w:val="clear"/>
            <w:tcMar>
              <w:top w:type="dxa" w:w="120"/>
              <w:left w:type="dxa" w:w="200"/>
              <w:bottom w:type="dxa" w:w="120"/>
              <w:right w:type="dxa" w:w="200"/>
            </w:tcMar>
          </w:tcPr>
          <w:p>
            <w:pPr>
              <w:spacing w:after="80"/>
            </w:pPr>
            <w:r>
              <w:rPr>
                <w:rFonts w:ascii="Georgia" w:cs="Georgia" w:eastAsia="Georgia" w:hAnsi="Georgia"/>
                <w:b/>
                <w:bCs/>
                <w:color w:val="2A2520"/>
                <w:sz w:val="22"/>
                <w:szCs w:val="22"/>
              </w:rPr>
              <w:t xml:space="preserve">STEP 3: ROUTE</w:t>
            </w:r>
          </w:p>
          <w:p>
            <w:pPr>
              <w:spacing w:after="60"/>
            </w:pPr>
            <w:r>
              <w:rPr>
                <w:rFonts w:ascii="Arial" w:cs="Arial" w:eastAsia="Arial" w:hAnsi="Arial"/>
                <w:color w:val="6B6560"/>
                <w:sz w:val="18"/>
                <w:szCs w:val="18"/>
              </w:rPr>
              <w:t xml:space="preserve">Route the AI system to the appropriate governance lane. The Routing Decision Tree provides the visual logic. The Lane Documentation provides the full specs for each lane: gate flow, approval authority, documentation requirements, and timelines.</w:t>
            </w:r>
          </w:p>
          <w:p>
            <w:r>
              <w:rPr>
                <w:rFonts w:ascii="Arial" w:cs="Arial" w:eastAsia="Arial" w:hAnsi="Arial"/>
                <w:b/>
                <w:bCs/>
                <w:color w:val="8B7355"/>
                <w:sz w:val="16"/>
                <w:szCs w:val="16"/>
              </w:rPr>
              <w:t xml:space="preserve">Template: Decision Tree + Lane Docs</w:t>
            </w:r>
          </w:p>
        </w:tc>
      </w:tr>
    </w:tbl>
    <w:p>
      <w:pPr>
        <w:spacing w:after="60"/>
      </w:pPr>
    </w:p>
    <w:p>
      <w:pPr>
        <w:pStyle w:val="Heading2"/>
        <w:spacing w:before="240" w:after="120"/>
      </w:pPr>
      <w:r>
        <w:rPr>
          <w:rFonts w:ascii="Georgia" w:cs="Georgia" w:eastAsia="Georgia" w:hAnsi="Georgia"/>
          <w:b/>
          <w:bCs/>
          <w:color w:val="8B7355"/>
          <w:sz w:val="24"/>
          <w:szCs w:val="24"/>
        </w:rPr>
        <w:t xml:space="preserve">Risk Tier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Score</w:t>
            </w:r>
          </w:p>
        </w:tc>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Tier</w:t>
            </w:r>
          </w:p>
        </w:tc>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Governance Lane</w:t>
            </w:r>
          </w:p>
        </w:tc>
        <w:tc>
          <w:tcPr>
            <w:tcW w:type="dxa" w:w="234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Typical Timeline</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bCs/>
                <w:color w:val="2A2520"/>
                <w:sz w:val="18"/>
                <w:szCs w:val="18"/>
              </w:rPr>
              <w:t xml:space="preserve">25 – 37</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bCs/>
                <w:color w:val="4A7C59"/>
                <w:sz w:val="18"/>
                <w:szCs w:val="18"/>
              </w:rPr>
              <w:t xml:space="preserve">LOW</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val="false"/>
                <w:bCs w:val="false"/>
                <w:color w:val="2A2520"/>
                <w:sz w:val="18"/>
                <w:szCs w:val="18"/>
              </w:rPr>
              <w:t xml:space="preserve">Express Lane</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val="false"/>
                <w:bCs w:val="false"/>
                <w:color w:val="2A2520"/>
                <w:sz w:val="18"/>
                <w:szCs w:val="18"/>
              </w:rPr>
              <w:t xml:space="preserve">1–2 weeks</w:t>
            </w:r>
          </w:p>
        </w:tc>
      </w:tr>
      <w:tr>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center"/>
            </w:pPr>
            <w:r>
              <w:rPr>
                <w:rFonts w:ascii="Arial" w:cs="Arial" w:eastAsia="Arial" w:hAnsi="Arial"/>
                <w:b/>
                <w:bCs/>
                <w:color w:val="2A2520"/>
                <w:sz w:val="18"/>
                <w:szCs w:val="18"/>
              </w:rPr>
              <w:t xml:space="preserve">38 – 52</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center"/>
            </w:pPr>
            <w:r>
              <w:rPr>
                <w:rFonts w:ascii="Arial" w:cs="Arial" w:eastAsia="Arial" w:hAnsi="Arial"/>
                <w:b/>
                <w:bCs/>
                <w:color w:val="D4A017"/>
                <w:sz w:val="18"/>
                <w:szCs w:val="18"/>
              </w:rPr>
              <w:t xml:space="preserve">MEDIUM</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center"/>
            </w:pPr>
            <w:r>
              <w:rPr>
                <w:rFonts w:ascii="Arial" w:cs="Arial" w:eastAsia="Arial" w:hAnsi="Arial"/>
                <w:b w:val="false"/>
                <w:bCs w:val="false"/>
                <w:color w:val="2A2520"/>
                <w:sz w:val="18"/>
                <w:szCs w:val="18"/>
              </w:rPr>
              <w:t xml:space="preserve">Standard Lane</w:t>
            </w:r>
          </w:p>
        </w:tc>
        <w:tc>
          <w:tcPr>
            <w:tcW w:type="dxa" w:w="234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center"/>
            </w:pPr>
            <w:r>
              <w:rPr>
                <w:rFonts w:ascii="Arial" w:cs="Arial" w:eastAsia="Arial" w:hAnsi="Arial"/>
                <w:b w:val="false"/>
                <w:bCs w:val="false"/>
                <w:color w:val="2A2520"/>
                <w:sz w:val="18"/>
                <w:szCs w:val="18"/>
              </w:rPr>
              <w:t xml:space="preserve">4–8 weeks</w:t>
            </w:r>
          </w:p>
        </w:tc>
      </w:tr>
      <w:tr>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bCs/>
                <w:color w:val="2A2520"/>
                <w:sz w:val="18"/>
                <w:szCs w:val="18"/>
              </w:rPr>
              <w:t xml:space="preserve">53 – 75</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HIGH</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val="false"/>
                <w:bCs w:val="false"/>
                <w:color w:val="2A2520"/>
                <w:sz w:val="18"/>
                <w:szCs w:val="18"/>
              </w:rPr>
              <w:t xml:space="preserve">Strategic Lane</w:t>
            </w:r>
          </w:p>
        </w:tc>
        <w:tc>
          <w:tcPr>
            <w:tcW w:type="dxa" w:w="234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val="false"/>
                <w:bCs w:val="false"/>
                <w:color w:val="2A2520"/>
                <w:sz w:val="18"/>
                <w:szCs w:val="18"/>
              </w:rPr>
              <w:t xml:space="preserve">8–16 weeks</w:t>
            </w:r>
          </w:p>
        </w:tc>
      </w:tr>
    </w:tbl>
    <w:p>
      <w:pPr>
        <w:spacing w:after="60"/>
      </w:pPr>
    </w:p>
    <w:p>
      <w:pPr>
        <w:spacing w:after="100"/>
      </w:pPr>
      <w:r>
        <w:rPr>
          <w:rFonts w:ascii="Arial" w:cs="Arial" w:eastAsia="Arial" w:hAnsi="Arial"/>
          <w:b/>
          <w:bCs/>
          <w:color w:val="2A2520"/>
          <w:sz w:val="20"/>
          <w:szCs w:val="20"/>
        </w:rPr>
        <w:t xml:space="preserve">Override Rule: If any single dimension scores 13 or higher, the system is automatically routed to the Strategic Lane regardless of total score.</w:t>
      </w:r>
    </w:p>
    <w:p>
      <w:r>
        <w:br w:type="page"/>
      </w:r>
    </w:p>
    <w:p>
      <w:pPr>
        <w:pStyle w:val="Heading1"/>
        <w:spacing w:before="300" w:after="160"/>
      </w:pPr>
      <w:r>
        <w:rPr>
          <w:rFonts w:ascii="Georgia" w:cs="Georgia" w:eastAsia="Georgia" w:hAnsi="Georgia"/>
          <w:b/>
          <w:bCs/>
          <w:color w:val="2A2520"/>
          <w:sz w:val="30"/>
          <w:szCs w:val="30"/>
        </w:rPr>
        <w:t xml:space="preserve">Your First 48 Hours</w:t>
      </w:r>
    </w:p>
    <w:p>
      <w:pPr>
        <w:spacing w:after="100"/>
      </w:pPr>
      <w:r>
        <w:rPr>
          <w:rFonts w:ascii="Arial" w:cs="Arial" w:eastAsia="Arial" w:hAnsi="Arial"/>
          <w:color w:val="6B6560"/>
          <w:sz w:val="20"/>
          <w:szCs w:val="20"/>
        </w:rPr>
        <w:t xml:space="preserve">You don’t need to read everything before starting. Here’s the fastest path to operational:</w:t>
      </w:r>
    </w:p>
    <w:p>
      <w:pPr>
        <w:spacing w:after="40"/>
      </w:pPr>
    </w:p>
    <w:p>
      <w:pPr>
        <w:pStyle w:val="Heading2"/>
        <w:spacing w:before="240" w:after="120"/>
      </w:pPr>
      <w:r>
        <w:rPr>
          <w:rFonts w:ascii="Georgia" w:cs="Georgia" w:eastAsia="Georgia" w:hAnsi="Georgia"/>
          <w:b/>
          <w:bCs/>
          <w:color w:val="8B7355"/>
          <w:sz w:val="24"/>
          <w:szCs w:val="24"/>
        </w:rPr>
        <w:t xml:space="preserve">Day 1: Customize and Assess</w:t>
      </w:r>
    </w:p>
    <w:p>
      <w:pPr>
        <w:spacing w:after="80"/>
      </w:pPr>
      <w:r>
        <w:rPr>
          <w:rFonts w:ascii="Arial" w:cs="Arial" w:eastAsia="Arial" w:hAnsi="Arial"/>
          <w:b/>
          <w:bCs/>
          <w:color w:val="2A2520"/>
          <w:sz w:val="20"/>
          <w:szCs w:val="20"/>
        </w:rPr>
        <w:t xml:space="preserve">Hour 1: </w:t>
      </w:r>
      <w:r>
        <w:rPr>
          <w:rFonts w:ascii="Arial" w:cs="Arial" w:eastAsia="Arial" w:hAnsi="Arial"/>
          <w:color w:val="6B6560"/>
          <w:sz w:val="20"/>
          <w:szCs w:val="20"/>
        </w:rPr>
        <w:t xml:space="preserve">Open the AI Use Policy Template. Replace all [bracketed text] with your organization’s information. Get executive sign-off.</w:t>
      </w:r>
    </w:p>
    <w:p>
      <w:pPr>
        <w:spacing w:after="80"/>
      </w:pPr>
      <w:r>
        <w:rPr>
          <w:rFonts w:ascii="Arial" w:cs="Arial" w:eastAsia="Arial" w:hAnsi="Arial"/>
          <w:b/>
          <w:bCs/>
          <w:color w:val="2A2520"/>
          <w:sz w:val="20"/>
          <w:szCs w:val="20"/>
        </w:rPr>
        <w:t xml:space="preserve">Hour 2: </w:t>
      </w:r>
      <w:r>
        <w:rPr>
          <w:rFonts w:ascii="Arial" w:cs="Arial" w:eastAsia="Arial" w:hAnsi="Arial"/>
          <w:color w:val="6B6560"/>
          <w:sz w:val="20"/>
          <w:szCs w:val="20"/>
        </w:rPr>
        <w:t xml:space="preserve">Pick one AI system. Open the Questionnaire. Walk through the 25 questions with the system owner. Score each 1–3.</w:t>
      </w:r>
    </w:p>
    <w:p>
      <w:pPr>
        <w:spacing w:after="80"/>
      </w:pPr>
      <w:r>
        <w:rPr>
          <w:rFonts w:ascii="Arial" w:cs="Arial" w:eastAsia="Arial" w:hAnsi="Arial"/>
          <w:b/>
          <w:bCs/>
          <w:color w:val="2A2520"/>
          <w:sz w:val="20"/>
          <w:szCs w:val="20"/>
        </w:rPr>
        <w:t xml:space="preserve">Hour 3: </w:t>
      </w:r>
      <w:r>
        <w:rPr>
          <w:rFonts w:ascii="Arial" w:cs="Arial" w:eastAsia="Arial" w:hAnsi="Arial"/>
          <w:color w:val="6B6560"/>
          <w:sz w:val="20"/>
          <w:szCs w:val="20"/>
        </w:rPr>
        <w:t xml:space="preserve">Enter scores in the Scoring Matrix. Review the auto-calculated tier and lane. Document the result.</w:t>
      </w:r>
    </w:p>
    <w:p>
      <w:pPr>
        <w:spacing w:after="60"/>
      </w:pPr>
    </w:p>
    <w:p>
      <w:pPr>
        <w:pStyle w:val="Heading2"/>
        <w:spacing w:before="240" w:after="120"/>
      </w:pPr>
      <w:r>
        <w:rPr>
          <w:rFonts w:ascii="Georgia" w:cs="Georgia" w:eastAsia="Georgia" w:hAnsi="Georgia"/>
          <w:b/>
          <w:bCs/>
          <w:color w:val="8B7355"/>
          <w:sz w:val="24"/>
          <w:szCs w:val="24"/>
        </w:rPr>
        <w:t xml:space="preserve">Day 2: Route and Communicate</w:t>
      </w:r>
    </w:p>
    <w:p>
      <w:pPr>
        <w:spacing w:after="80"/>
      </w:pPr>
      <w:r>
        <w:rPr>
          <w:rFonts w:ascii="Arial" w:cs="Arial" w:eastAsia="Arial" w:hAnsi="Arial"/>
          <w:b/>
          <w:bCs/>
          <w:color w:val="2A2520"/>
          <w:sz w:val="20"/>
          <w:szCs w:val="20"/>
        </w:rPr>
        <w:t xml:space="preserve">Hour 1: </w:t>
      </w:r>
      <w:r>
        <w:rPr>
          <w:rFonts w:ascii="Arial" w:cs="Arial" w:eastAsia="Arial" w:hAnsi="Arial"/>
          <w:color w:val="6B6560"/>
          <w:sz w:val="20"/>
          <w:szCs w:val="20"/>
        </w:rPr>
        <w:t xml:space="preserve">Review the Decision Tree. Confirm the classification. Check the override rule.</w:t>
      </w:r>
    </w:p>
    <w:p>
      <w:pPr>
        <w:spacing w:after="80"/>
      </w:pPr>
      <w:r>
        <w:rPr>
          <w:rFonts w:ascii="Arial" w:cs="Arial" w:eastAsia="Arial" w:hAnsi="Arial"/>
          <w:b/>
          <w:bCs/>
          <w:color w:val="2A2520"/>
          <w:sz w:val="20"/>
          <w:szCs w:val="20"/>
        </w:rPr>
        <w:t xml:space="preserve">Hour 2: </w:t>
      </w:r>
      <w:r>
        <w:rPr>
          <w:rFonts w:ascii="Arial" w:cs="Arial" w:eastAsia="Arial" w:hAnsi="Arial"/>
          <w:color w:val="6B6560"/>
          <w:sz w:val="20"/>
          <w:szCs w:val="20"/>
        </w:rPr>
        <w:t xml:space="preserve">Read the Lane Documentation for your assigned lane. Note review requirements and approval authority.</w:t>
      </w:r>
    </w:p>
    <w:p>
      <w:pPr>
        <w:spacing w:after="80"/>
      </w:pPr>
      <w:r>
        <w:rPr>
          <w:rFonts w:ascii="Arial" w:cs="Arial" w:eastAsia="Arial" w:hAnsi="Arial"/>
          <w:b/>
          <w:bCs/>
          <w:color w:val="2A2520"/>
          <w:sz w:val="20"/>
          <w:szCs w:val="20"/>
        </w:rPr>
        <w:t xml:space="preserve">Hour 3: </w:t>
      </w:r>
      <w:r>
        <w:rPr>
          <w:rFonts w:ascii="Arial" w:cs="Arial" w:eastAsia="Arial" w:hAnsi="Arial"/>
          <w:color w:val="6B6560"/>
          <w:sz w:val="20"/>
          <w:szCs w:val="20"/>
        </w:rPr>
        <w:t xml:space="preserve">Brief stakeholders: “This system is classified as [tier] and follows the [lane] governance process. Here’s what that means.”</w:t>
      </w:r>
    </w:p>
    <w:p>
      <w:pPr>
        <w:spacing w:after="60"/>
      </w:pPr>
    </w:p>
    <w:p>
      <w:pPr>
        <w:spacing w:after="100"/>
      </w:pPr>
      <w:r>
        <w:rPr>
          <w:rFonts w:ascii="Arial" w:cs="Arial" w:eastAsia="Arial" w:hAnsi="Arial"/>
          <w:b/>
          <w:bCs/>
          <w:color w:val="2A2520"/>
          <w:sz w:val="20"/>
          <w:szCs w:val="20"/>
        </w:rPr>
        <w:t xml:space="preserve">You now have one AI system classified, routed, and communicated. Repeat for every AI system in your portfolio.</w:t>
      </w:r>
    </w:p>
    <w:p>
      <w:r>
        <w:br w:type="page"/>
      </w:r>
    </w:p>
    <w:p>
      <w:pPr>
        <w:pStyle w:val="Heading1"/>
        <w:spacing w:before="300" w:after="160"/>
      </w:pPr>
      <w:r>
        <w:rPr>
          <w:rFonts w:ascii="Georgia" w:cs="Georgia" w:eastAsia="Georgia" w:hAnsi="Georgia"/>
          <w:b/>
          <w:bCs/>
          <w:color w:val="2A2520"/>
          <w:sz w:val="30"/>
          <w:szCs w:val="30"/>
        </w:rPr>
        <w:t xml:space="preserve">Weeks 1–4 Implementation Roadmap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w:t>
            </w:r>
          </w:p>
        </w:tc>
        <w:tc>
          <w:tcPr>
            <w:tcW w:type="dxa" w:w="43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Activities</w:t>
            </w:r>
          </w:p>
        </w:tc>
        <w:tc>
          <w:tcPr>
            <w:tcW w:type="dxa" w:w="30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Deliverables</w:t>
            </w:r>
          </w:p>
        </w:tc>
      </w:tr>
      <w:t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Week 1: Foundation</w:t>
            </w:r>
          </w:p>
        </w:tc>
        <w:tc>
          <w:tcPr>
            <w:tcW w:type="dxa" w:w="43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Customize AI Use Policy and get approval
Assess 3–5 pilot AI systems
Create an AI Inventory (spreadsheet with system name, BU, risk tier, lane, owner)
Establish an intake channel for new AI projects</w:t>
            </w:r>
          </w:p>
        </w:tc>
        <w:tc>
          <w:tcPr>
            <w:tcW w:type="dxa" w:w="3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Approved AI Use Policy
Pilot systems classified
AI Inventory created</w:t>
            </w:r>
          </w:p>
        </w:tc>
      </w:tr>
      <w:tr>
        <w:tc>
          <w:tcPr>
            <w:tcW w:type="dxa" w:w="2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Week 2: Operationalize</w:t>
            </w:r>
          </w:p>
        </w:tc>
        <w:tc>
          <w:tcPr>
            <w:tcW w:type="dxa" w:w="43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Brief department leads on the three governance lanes
Distribute AI Use Policy organization-wide
Identify one AI Lead per business unit
Retroactively classify any existing AI systems</w:t>
            </w:r>
          </w:p>
        </w:tc>
        <w:tc>
          <w:tcPr>
            <w:tcW w:type="dxa" w:w="3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BU leads briefed
AI Leads identified
Existing systems classified</w:t>
            </w:r>
          </w:p>
        </w:tc>
      </w:tr>
      <w:t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Week 3: Scale</w:t>
            </w:r>
          </w:p>
        </w:tc>
        <w:tc>
          <w:tcPr>
            <w:tcW w:type="dxa" w:w="43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Require risk classification for all new AI initiatives
AI Leads run intake independently
Set up a governance dashboard or tracking report
Document edge cases and the escalation path</w:t>
            </w:r>
          </w:p>
        </w:tc>
        <w:tc>
          <w:tcPr>
            <w:tcW w:type="dxa" w:w="3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All new AI projects classified
Governance dashboard live
Escalation path documented</w:t>
            </w:r>
          </w:p>
        </w:tc>
      </w:tr>
      <w:tr>
        <w:tc>
          <w:tcPr>
            <w:tcW w:type="dxa" w:w="2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Week 4: Measure</w:t>
            </w:r>
          </w:p>
        </w:tc>
        <w:tc>
          <w:tcPr>
            <w:tcW w:type="dxa" w:w="43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Compile metrics: total systems, tier distribution, avg. time-to-classification
Deliver a 15-minute executive briefing with one-page summary
Capture lessons learned
Decide: ready for the full governance lifecycle?</w:t>
            </w:r>
          </w:p>
        </w:tc>
        <w:tc>
          <w:tcPr>
            <w:tcW w:type="dxa" w:w="3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Metrics compiled
Executive briefing delivered
Next phase planned</w:t>
            </w:r>
          </w:p>
        </w:tc>
      </w:tr>
    </w:tbl>
    <w:p>
      <w:r>
        <w:br w:type="page"/>
      </w:r>
    </w:p>
    <w:p>
      <w:pPr>
        <w:pStyle w:val="Heading1"/>
        <w:spacing w:before="300" w:after="160"/>
      </w:pPr>
      <w:r>
        <w:rPr>
          <w:rFonts w:ascii="Georgia" w:cs="Georgia" w:eastAsia="Georgia" w:hAnsi="Georgia"/>
          <w:b/>
          <w:bCs/>
          <w:color w:val="2A2520"/>
          <w:sz w:val="30"/>
          <w:szCs w:val="30"/>
        </w:rPr>
        <w:t xml:space="preserve">The Three Governance Lanes</w:t>
      </w:r>
    </w:p>
    <w:p>
      <w:pPr>
        <w:spacing w:after="100"/>
      </w:pPr>
      <w:r>
        <w:rPr>
          <w:rFonts w:ascii="Arial" w:cs="Arial" w:eastAsia="Arial" w:hAnsi="Arial"/>
          <w:color w:val="6B6560"/>
          <w:sz w:val="20"/>
          <w:szCs w:val="20"/>
        </w:rPr>
        <w:t xml:space="preserve">Every AI system routes to one of three lanes based on risk. Each lane has proportional oversight — lighter for low risk, rigorous for high risk.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D5D0C8" w:sz="1"/>
              <w:bottom w:val="single" w:color="D5D0C8" w:sz="1"/>
              <w:right w:val="single" w:color="D5D0C8" w:sz="1"/>
            </w:tcBorders>
            <w:shd w:fill="F9F7F3" w:val="clear"/>
            <w:tcMar>
              <w:top w:type="dxa" w:w="120"/>
              <w:left w:type="dxa" w:w="200"/>
              <w:bottom w:type="dxa" w:w="120"/>
              <w:right w:type="dxa" w:w="200"/>
            </w:tcMar>
          </w:tcPr>
          <w:p>
            <w:pPr>
              <w:spacing w:after="80"/>
            </w:pPr>
            <w:r>
              <w:rPr>
                <w:rFonts w:ascii="Georgia" w:cs="Georgia" w:eastAsia="Georgia" w:hAnsi="Georgia"/>
                <w:b/>
                <w:bCs/>
                <w:color w:val="4A7C59"/>
                <w:sz w:val="22"/>
                <w:szCs w:val="22"/>
              </w:rPr>
              <w:t xml:space="preserve">EXPRESS LANE</w:t>
            </w:r>
          </w:p>
          <w:p>
            <w:pPr>
              <w:spacing w:after="40"/>
            </w:pPr>
            <w:r>
              <w:rPr>
                <w:rFonts w:ascii="Arial" w:cs="Arial" w:eastAsia="Arial" w:hAnsi="Arial"/>
                <w:b/>
                <w:bCs/>
                <w:color w:val="2A2520"/>
                <w:sz w:val="18"/>
                <w:szCs w:val="18"/>
              </w:rPr>
              <w:t xml:space="preserve">Risk Tier: </w:t>
            </w:r>
            <w:r>
              <w:rPr>
                <w:rFonts w:ascii="Arial" w:cs="Arial" w:eastAsia="Arial" w:hAnsi="Arial"/>
                <w:color w:val="6B6560"/>
                <w:sz w:val="18"/>
                <w:szCs w:val="18"/>
              </w:rPr>
              <w:t xml:space="preserve">Low Risk (25–37)</w:t>
            </w:r>
          </w:p>
          <w:p>
            <w:pPr>
              <w:spacing w:after="40"/>
            </w:pPr>
            <w:r>
              <w:rPr>
                <w:rFonts w:ascii="Arial" w:cs="Arial" w:eastAsia="Arial" w:hAnsi="Arial"/>
                <w:b/>
                <w:bCs/>
                <w:color w:val="2A2520"/>
                <w:sz w:val="18"/>
                <w:szCs w:val="18"/>
              </w:rPr>
              <w:t xml:space="preserve">Gate Flow: </w:t>
            </w:r>
            <w:r>
              <w:rPr>
                <w:rFonts w:ascii="Arial" w:cs="Arial" w:eastAsia="Arial" w:hAnsi="Arial"/>
                <w:color w:val="6B6560"/>
                <w:sz w:val="18"/>
                <w:szCs w:val="18"/>
              </w:rPr>
              <w:t xml:space="preserve">Gate 0 → Gate 2 (skip Gate 1)</w:t>
            </w:r>
          </w:p>
          <w:p>
            <w:pPr>
              <w:spacing w:after="40"/>
            </w:pPr>
            <w:r>
              <w:rPr>
                <w:rFonts w:ascii="Arial" w:cs="Arial" w:eastAsia="Arial" w:hAnsi="Arial"/>
                <w:b/>
                <w:bCs/>
                <w:color w:val="2A2520"/>
                <w:sz w:val="18"/>
                <w:szCs w:val="18"/>
              </w:rPr>
              <w:t xml:space="preserve">Approval: </w:t>
            </w:r>
            <w:r>
              <w:rPr>
                <w:rFonts w:ascii="Arial" w:cs="Arial" w:eastAsia="Arial" w:hAnsi="Arial"/>
                <w:color w:val="6B6560"/>
                <w:sz w:val="18"/>
                <w:szCs w:val="18"/>
              </w:rPr>
              <w:t xml:space="preserve">AI Lead only</w:t>
            </w:r>
            <w:r>
              <w:rPr>
                <w:rFonts w:ascii="Arial" w:cs="Arial" w:eastAsia="Arial" w:hAnsi="Arial"/>
                <w:b/>
                <w:bCs/>
                <w:color w:val="2A2520"/>
                <w:sz w:val="18"/>
                <w:szCs w:val="18"/>
              </w:rPr>
              <w:t xml:space="preserve">    Docs: </w:t>
            </w:r>
            <w:r>
              <w:rPr>
                <w:rFonts w:ascii="Arial" w:cs="Arial" w:eastAsia="Arial" w:hAnsi="Arial"/>
                <w:color w:val="6B6560"/>
                <w:sz w:val="18"/>
                <w:szCs w:val="18"/>
              </w:rPr>
              <w:t xml:space="preserve">Minimal model card</w:t>
            </w:r>
          </w:p>
          <w:p>
            <w:pPr>
              <w:spacing w:after="40"/>
            </w:pPr>
            <w:r>
              <w:rPr>
                <w:rFonts w:ascii="Arial" w:cs="Arial" w:eastAsia="Arial" w:hAnsi="Arial"/>
                <w:b/>
                <w:bCs/>
                <w:color w:val="2A2520"/>
                <w:sz w:val="18"/>
                <w:szCs w:val="18"/>
              </w:rPr>
              <w:t xml:space="preserve">Timeline: </w:t>
            </w:r>
            <w:r>
              <w:rPr>
                <w:rFonts w:ascii="Arial" w:cs="Arial" w:eastAsia="Arial" w:hAnsi="Arial"/>
                <w:color w:val="6B6560"/>
                <w:sz w:val="18"/>
                <w:szCs w:val="18"/>
              </w:rPr>
              <w:t xml:space="preserve">1–2 weeks</w:t>
            </w:r>
            <w:r>
              <w:rPr>
                <w:rFonts w:ascii="Arial" w:cs="Arial" w:eastAsia="Arial" w:hAnsi="Arial"/>
                <w:b/>
                <w:bCs/>
                <w:color w:val="2A2520"/>
                <w:sz w:val="18"/>
                <w:szCs w:val="18"/>
              </w:rPr>
              <w:t xml:space="preserve">    Re-assessment: </w:t>
            </w:r>
            <w:r>
              <w:rPr>
                <w:rFonts w:ascii="Arial" w:cs="Arial" w:eastAsia="Arial" w:hAnsi="Arial"/>
                <w:color w:val="6B6560"/>
                <w:sz w:val="18"/>
                <w:szCs w:val="18"/>
              </w:rPr>
              <w:t xml:space="preserve">Annual</w:t>
            </w:r>
          </w:p>
          <w:p>
            <w:r>
              <w:rPr>
                <w:rFonts w:ascii="Arial" w:cs="Arial" w:eastAsia="Arial" w:hAnsi="Arial"/>
                <w:b/>
                <w:bCs/>
                <w:color w:val="2A2520"/>
                <w:sz w:val="18"/>
                <w:szCs w:val="18"/>
              </w:rPr>
              <w:t xml:space="preserve">Best for: </w:t>
            </w:r>
            <w:r>
              <w:rPr>
                <w:rFonts w:ascii="Arial" w:cs="Arial" w:eastAsia="Arial" w:hAnsi="Arial"/>
                <w:color w:val="6B6560"/>
                <w:sz w:val="18"/>
                <w:szCs w:val="18"/>
              </w:rPr>
              <w:t xml:space="preserve">Internal productivity tools, low-impact analytics, no PII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D5D0C8" w:sz="1"/>
              <w:bottom w:val="single" w:color="D5D0C8" w:sz="1"/>
              <w:right w:val="single" w:color="D5D0C8" w:sz="1"/>
            </w:tcBorders>
            <w:shd w:fill="F9F7F3" w:val="clear"/>
            <w:tcMar>
              <w:top w:type="dxa" w:w="120"/>
              <w:left w:type="dxa" w:w="200"/>
              <w:bottom w:type="dxa" w:w="120"/>
              <w:right w:type="dxa" w:w="200"/>
            </w:tcMar>
          </w:tcPr>
          <w:p>
            <w:pPr>
              <w:spacing w:after="80"/>
            </w:pPr>
            <w:r>
              <w:rPr>
                <w:rFonts w:ascii="Georgia" w:cs="Georgia" w:eastAsia="Georgia" w:hAnsi="Georgia"/>
                <w:b/>
                <w:bCs/>
                <w:color w:val="D4A017"/>
                <w:sz w:val="22"/>
                <w:szCs w:val="22"/>
              </w:rPr>
              <w:t xml:space="preserve">STANDARD LANE</w:t>
            </w:r>
          </w:p>
          <w:p>
            <w:pPr>
              <w:spacing w:after="40"/>
            </w:pPr>
            <w:r>
              <w:rPr>
                <w:rFonts w:ascii="Arial" w:cs="Arial" w:eastAsia="Arial" w:hAnsi="Arial"/>
                <w:b/>
                <w:bCs/>
                <w:color w:val="2A2520"/>
                <w:sz w:val="18"/>
                <w:szCs w:val="18"/>
              </w:rPr>
              <w:t xml:space="preserve">Risk Tier: </w:t>
            </w:r>
            <w:r>
              <w:rPr>
                <w:rFonts w:ascii="Arial" w:cs="Arial" w:eastAsia="Arial" w:hAnsi="Arial"/>
                <w:color w:val="6B6560"/>
                <w:sz w:val="18"/>
                <w:szCs w:val="18"/>
              </w:rPr>
              <w:t xml:space="preserve">Medium Risk (38–52)</w:t>
            </w:r>
          </w:p>
          <w:p>
            <w:pPr>
              <w:spacing w:after="40"/>
            </w:pPr>
            <w:r>
              <w:rPr>
                <w:rFonts w:ascii="Arial" w:cs="Arial" w:eastAsia="Arial" w:hAnsi="Arial"/>
                <w:b/>
                <w:bCs/>
                <w:color w:val="2A2520"/>
                <w:sz w:val="18"/>
                <w:szCs w:val="18"/>
              </w:rPr>
              <w:t xml:space="preserve">Gate Flow: </w:t>
            </w:r>
            <w:r>
              <w:rPr>
                <w:rFonts w:ascii="Arial" w:cs="Arial" w:eastAsia="Arial" w:hAnsi="Arial"/>
                <w:color w:val="6B6560"/>
                <w:sz w:val="18"/>
                <w:szCs w:val="18"/>
              </w:rPr>
              <w:t xml:space="preserve">Gate 0 → 1 → 2 → 3</w:t>
            </w:r>
          </w:p>
          <w:p>
            <w:pPr>
              <w:spacing w:after="40"/>
            </w:pPr>
            <w:r>
              <w:rPr>
                <w:rFonts w:ascii="Arial" w:cs="Arial" w:eastAsia="Arial" w:hAnsi="Arial"/>
                <w:b/>
                <w:bCs/>
                <w:color w:val="2A2520"/>
                <w:sz w:val="18"/>
                <w:szCs w:val="18"/>
              </w:rPr>
              <w:t xml:space="preserve">Approval: </w:t>
            </w:r>
            <w:r>
              <w:rPr>
                <w:rFonts w:ascii="Arial" w:cs="Arial" w:eastAsia="Arial" w:hAnsi="Arial"/>
                <w:color w:val="6B6560"/>
                <w:sz w:val="18"/>
                <w:szCs w:val="18"/>
              </w:rPr>
              <w:t xml:space="preserve">Governance Node review</w:t>
            </w:r>
            <w:r>
              <w:rPr>
                <w:rFonts w:ascii="Arial" w:cs="Arial" w:eastAsia="Arial" w:hAnsi="Arial"/>
                <w:b/>
                <w:bCs/>
                <w:color w:val="2A2520"/>
                <w:sz w:val="18"/>
                <w:szCs w:val="18"/>
              </w:rPr>
              <w:t xml:space="preserve">    Docs: </w:t>
            </w:r>
            <w:r>
              <w:rPr>
                <w:rFonts w:ascii="Arial" w:cs="Arial" w:eastAsia="Arial" w:hAnsi="Arial"/>
                <w:color w:val="6B6560"/>
                <w:sz w:val="18"/>
                <w:szCs w:val="18"/>
              </w:rPr>
              <w:t xml:space="preserve">Standard model card</w:t>
            </w:r>
          </w:p>
          <w:p>
            <w:pPr>
              <w:spacing w:after="40"/>
            </w:pPr>
            <w:r>
              <w:rPr>
                <w:rFonts w:ascii="Arial" w:cs="Arial" w:eastAsia="Arial" w:hAnsi="Arial"/>
                <w:b/>
                <w:bCs/>
                <w:color w:val="2A2520"/>
                <w:sz w:val="18"/>
                <w:szCs w:val="18"/>
              </w:rPr>
              <w:t xml:space="preserve">Timeline: </w:t>
            </w:r>
            <w:r>
              <w:rPr>
                <w:rFonts w:ascii="Arial" w:cs="Arial" w:eastAsia="Arial" w:hAnsi="Arial"/>
                <w:color w:val="6B6560"/>
                <w:sz w:val="18"/>
                <w:szCs w:val="18"/>
              </w:rPr>
              <w:t xml:space="preserve">4–8 weeks</w:t>
            </w:r>
            <w:r>
              <w:rPr>
                <w:rFonts w:ascii="Arial" w:cs="Arial" w:eastAsia="Arial" w:hAnsi="Arial"/>
                <w:b/>
                <w:bCs/>
                <w:color w:val="2A2520"/>
                <w:sz w:val="18"/>
                <w:szCs w:val="18"/>
              </w:rPr>
              <w:t xml:space="preserve">    Re-assessment: </w:t>
            </w:r>
            <w:r>
              <w:rPr>
                <w:rFonts w:ascii="Arial" w:cs="Arial" w:eastAsia="Arial" w:hAnsi="Arial"/>
                <w:color w:val="6B6560"/>
                <w:sz w:val="18"/>
                <w:szCs w:val="18"/>
              </w:rPr>
              <w:t xml:space="preserve">Semi-annual</w:t>
            </w:r>
          </w:p>
          <w:p>
            <w:r>
              <w:rPr>
                <w:rFonts w:ascii="Arial" w:cs="Arial" w:eastAsia="Arial" w:hAnsi="Arial"/>
                <w:b/>
                <w:bCs/>
                <w:color w:val="2A2520"/>
                <w:sz w:val="18"/>
                <w:szCs w:val="18"/>
              </w:rPr>
              <w:t xml:space="preserve">Best for: </w:t>
            </w:r>
            <w:r>
              <w:rPr>
                <w:rFonts w:ascii="Arial" w:cs="Arial" w:eastAsia="Arial" w:hAnsi="Arial"/>
                <w:color w:val="6B6560"/>
                <w:sz w:val="18"/>
                <w:szCs w:val="18"/>
              </w:rPr>
              <w:t xml:space="preserve">Customer-facing AI, business decisions, limited PII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D5D0C8" w:sz="1"/>
              <w:bottom w:val="single" w:color="D5D0C8" w:sz="1"/>
              <w:right w:val="single" w:color="D5D0C8" w:sz="1"/>
            </w:tcBorders>
            <w:shd w:fill="F9F7F3" w:val="clear"/>
            <w:tcMar>
              <w:top w:type="dxa" w:w="120"/>
              <w:left w:type="dxa" w:w="200"/>
              <w:bottom w:type="dxa" w:w="120"/>
              <w:right w:type="dxa" w:w="200"/>
            </w:tcMar>
          </w:tcPr>
          <w:p>
            <w:pPr>
              <w:spacing w:after="80"/>
            </w:pPr>
            <w:r>
              <w:rPr>
                <w:rFonts w:ascii="Georgia" w:cs="Georgia" w:eastAsia="Georgia" w:hAnsi="Georgia"/>
                <w:b/>
                <w:bCs/>
                <w:color w:val="C0392B"/>
                <w:sz w:val="22"/>
                <w:szCs w:val="22"/>
              </w:rPr>
              <w:t xml:space="preserve">STRATEGIC LANE</w:t>
            </w:r>
          </w:p>
          <w:p>
            <w:pPr>
              <w:spacing w:after="40"/>
            </w:pPr>
            <w:r>
              <w:rPr>
                <w:rFonts w:ascii="Arial" w:cs="Arial" w:eastAsia="Arial" w:hAnsi="Arial"/>
                <w:b/>
                <w:bCs/>
                <w:color w:val="2A2520"/>
                <w:sz w:val="18"/>
                <w:szCs w:val="18"/>
              </w:rPr>
              <w:t xml:space="preserve">Risk Tier: </w:t>
            </w:r>
            <w:r>
              <w:rPr>
                <w:rFonts w:ascii="Arial" w:cs="Arial" w:eastAsia="Arial" w:hAnsi="Arial"/>
                <w:color w:val="6B6560"/>
                <w:sz w:val="18"/>
                <w:szCs w:val="18"/>
              </w:rPr>
              <w:t xml:space="preserve">High Risk (53–75)</w:t>
            </w:r>
          </w:p>
          <w:p>
            <w:pPr>
              <w:spacing w:after="40"/>
            </w:pPr>
            <w:r>
              <w:rPr>
                <w:rFonts w:ascii="Arial" w:cs="Arial" w:eastAsia="Arial" w:hAnsi="Arial"/>
                <w:b/>
                <w:bCs/>
                <w:color w:val="2A2520"/>
                <w:sz w:val="18"/>
                <w:szCs w:val="18"/>
              </w:rPr>
              <w:t xml:space="preserve">Gate Flow: </w:t>
            </w:r>
            <w:r>
              <w:rPr>
                <w:rFonts w:ascii="Arial" w:cs="Arial" w:eastAsia="Arial" w:hAnsi="Arial"/>
                <w:color w:val="6B6560"/>
                <w:sz w:val="18"/>
                <w:szCs w:val="18"/>
              </w:rPr>
              <w:t xml:space="preserve">Gate 0 → 1 → 1.5 → 2 → 3</w:t>
            </w:r>
          </w:p>
          <w:p>
            <w:pPr>
              <w:spacing w:after="40"/>
            </w:pPr>
            <w:r>
              <w:rPr>
                <w:rFonts w:ascii="Arial" w:cs="Arial" w:eastAsia="Arial" w:hAnsi="Arial"/>
                <w:b/>
                <w:bCs/>
                <w:color w:val="2A2520"/>
                <w:sz w:val="18"/>
                <w:szCs w:val="18"/>
              </w:rPr>
              <w:t xml:space="preserve">Approval: </w:t>
            </w:r>
            <w:r>
              <w:rPr>
                <w:rFonts w:ascii="Arial" w:cs="Arial" w:eastAsia="Arial" w:hAnsi="Arial"/>
                <w:color w:val="6B6560"/>
                <w:sz w:val="18"/>
                <w:szCs w:val="18"/>
              </w:rPr>
              <w:t xml:space="preserve">Fabric Core + Executive</w:t>
            </w:r>
            <w:r>
              <w:rPr>
                <w:rFonts w:ascii="Arial" w:cs="Arial" w:eastAsia="Arial" w:hAnsi="Arial"/>
                <w:b/>
                <w:bCs/>
                <w:color w:val="2A2520"/>
                <w:sz w:val="18"/>
                <w:szCs w:val="18"/>
              </w:rPr>
              <w:t xml:space="preserve">    Docs: </w:t>
            </w:r>
            <w:r>
              <w:rPr>
                <w:rFonts w:ascii="Arial" w:cs="Arial" w:eastAsia="Arial" w:hAnsi="Arial"/>
                <w:color w:val="6B6560"/>
                <w:sz w:val="18"/>
                <w:szCs w:val="18"/>
              </w:rPr>
              <w:t xml:space="preserve">Extended model card</w:t>
            </w:r>
          </w:p>
          <w:p>
            <w:pPr>
              <w:spacing w:after="40"/>
            </w:pPr>
            <w:r>
              <w:rPr>
                <w:rFonts w:ascii="Arial" w:cs="Arial" w:eastAsia="Arial" w:hAnsi="Arial"/>
                <w:b/>
                <w:bCs/>
                <w:color w:val="2A2520"/>
                <w:sz w:val="18"/>
                <w:szCs w:val="18"/>
              </w:rPr>
              <w:t xml:space="preserve">Timeline: </w:t>
            </w:r>
            <w:r>
              <w:rPr>
                <w:rFonts w:ascii="Arial" w:cs="Arial" w:eastAsia="Arial" w:hAnsi="Arial"/>
                <w:color w:val="6B6560"/>
                <w:sz w:val="18"/>
                <w:szCs w:val="18"/>
              </w:rPr>
              <w:t xml:space="preserve">8–16 weeks</w:t>
            </w:r>
            <w:r>
              <w:rPr>
                <w:rFonts w:ascii="Arial" w:cs="Arial" w:eastAsia="Arial" w:hAnsi="Arial"/>
                <w:b/>
                <w:bCs/>
                <w:color w:val="2A2520"/>
                <w:sz w:val="18"/>
                <w:szCs w:val="18"/>
              </w:rPr>
              <w:t xml:space="preserve">    Re-assessment: </w:t>
            </w:r>
            <w:r>
              <w:rPr>
                <w:rFonts w:ascii="Arial" w:cs="Arial" w:eastAsia="Arial" w:hAnsi="Arial"/>
                <w:color w:val="6B6560"/>
                <w:sz w:val="18"/>
                <w:szCs w:val="18"/>
              </w:rPr>
              <w:t xml:space="preserve">Quarterly</w:t>
            </w:r>
          </w:p>
          <w:p>
            <w:r>
              <w:rPr>
                <w:rFonts w:ascii="Arial" w:cs="Arial" w:eastAsia="Arial" w:hAnsi="Arial"/>
                <w:b/>
                <w:bCs/>
                <w:color w:val="2A2520"/>
                <w:sz w:val="18"/>
                <w:szCs w:val="18"/>
              </w:rPr>
              <w:t xml:space="preserve">Best for: </w:t>
            </w:r>
            <w:r>
              <w:rPr>
                <w:rFonts w:ascii="Arial" w:cs="Arial" w:eastAsia="Arial" w:hAnsi="Arial"/>
                <w:color w:val="6B6560"/>
                <w:sz w:val="18"/>
                <w:szCs w:val="18"/>
              </w:rPr>
              <w:t xml:space="preserve">Regulated domains, autonomous decisions, high PII</w:t>
            </w:r>
          </w:p>
        </w:tc>
      </w:tr>
    </w:tbl>
    <w:p>
      <w:pPr>
        <w:spacing w:after="60"/>
      </w:pPr>
    </w:p>
    <w:p>
      <w:pPr>
        <w:spacing w:after="100"/>
      </w:pPr>
    </w:p>
    <w:p>
      <w:pPr>
        <w:pBdr>
          <w:top w:val="single" w:color="8B7355" w:sz="2" w:space="8"/>
        </w:pBdr>
        <w:spacing w:after="160"/>
      </w:pPr>
    </w:p>
    <w:p>
      <w:pPr>
        <w:pStyle w:val="Heading2"/>
        <w:spacing w:before="240" w:after="120"/>
      </w:pPr>
      <w:r>
        <w:rPr>
          <w:rFonts w:ascii="Georgia" w:cs="Georgia" w:eastAsia="Georgia" w:hAnsi="Georgia"/>
          <w:b/>
          <w:bCs/>
          <w:color w:val="8B7355"/>
          <w:sz w:val="24"/>
          <w:szCs w:val="24"/>
        </w:rPr>
        <w:t xml:space="preserve">What Comes Next</w:t>
      </w:r>
    </w:p>
    <w:p>
      <w:pPr>
        <w:spacing w:after="100"/>
      </w:pPr>
      <w:r>
        <w:rPr>
          <w:rFonts w:ascii="Arial" w:cs="Arial" w:eastAsia="Arial" w:hAnsi="Arial"/>
          <w:color w:val="6B6560"/>
          <w:sz w:val="20"/>
          <w:szCs w:val="20"/>
        </w:rPr>
        <w:t xml:space="preserve">This toolkit gives you risk classification, governance lanes, and an AI use policy. To build the full governance operating system — the four-gate lifecycle, model cards, RACI matrices, vendor assessment, change management, and value tracking — explore Governance-in-a-Box.</w:t>
      </w:r>
    </w:p>
    <w:p>
      <w:pPr>
        <w:spacing w:after="40"/>
      </w:pPr>
    </w:p>
    <w:p>
      <w:pPr>
        <w:spacing w:after="100"/>
      </w:pPr>
      <w:r>
        <w:rPr>
          <w:rFonts w:ascii="Arial" w:cs="Arial" w:eastAsia="Arial" w:hAnsi="Arial"/>
          <w:b/>
          <w:bCs/>
          <w:color w:val="8B7355"/>
          <w:sz w:val="20"/>
          <w:szCs w:val="20"/>
        </w:rPr>
        <w:t xml:space="preserve">creativeprecision.io</w:t>
      </w:r>
    </w:p>
    <w:p>
      <w:pPr>
        <w:spacing w:after="200"/>
      </w:pPr>
    </w:p>
    <w:p>
      <w:pPr>
        <w:spacing w:after="100"/>
      </w:pPr>
      <w:r>
        <w:rPr>
          <w:rFonts w:ascii="Arial" w:cs="Arial" w:eastAsia="Arial" w:hAnsi="Arial"/>
          <w:color w:val="6B6560"/>
          <w:sz w:val="20"/>
          <w:szCs w:val="20"/>
        </w:rPr>
        <w:t xml:space="preserve">© 2026 Gordon Chan / Creative Precision. All rights reserved.</w:t>
      </w:r>
    </w:p>
    <w:p>
      <w:pPr>
        <w:spacing w:after="100"/>
      </w:pPr>
      <w:r>
        <w:rPr>
          <w:rFonts w:ascii="Arial" w:cs="Arial" w:eastAsia="Arial" w:hAnsi="Arial"/>
          <w:i/>
          <w:iCs/>
          <w:color w:val="6B6560"/>
          <w:sz w:val="20"/>
          <w:szCs w:val="20"/>
        </w:rPr>
        <w:t xml:space="preserve">Licensed for use by the purchasing organization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4"/>
        <w:szCs w:val="14"/>
      </w:rPr>
      <w:t xml:space="preserve">© 2026 Gordon Chan / Creative Precision  |  Licensed for organizational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1" w:space="4"/>
      </w:pBdr>
      <w:jc w:val="right"/>
    </w:pPr>
    <w:r>
      <w:rPr>
        <w:rFonts w:ascii="Arial" w:cs="Arial" w:eastAsia="Arial" w:hAnsi="Arial"/>
        <w:b/>
        <w:bCs/>
        <w:color w:val="8B7355"/>
        <w:sz w:val="14"/>
        <w:szCs w:val="14"/>
      </w:rPr>
      <w:t xml:space="preserve">CREATIVE PRECISION</w:t>
    </w:r>
    <w:r>
      <w:rPr>
        <w:rFonts w:ascii="Arial" w:cs="Arial" w:eastAsia="Arial" w:hAnsi="Arial"/>
        <w:color w:val="6B6560"/>
        <w:sz w:val="14"/>
        <w:szCs w:val="14"/>
      </w:rPr>
      <w:t xml:space="preserve">  |  Risk &amp; Routing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Georgia" w:cs="Georgia" w:eastAsia="Georgia" w:hAnsi="Georgia"/>
      <w:b/>
      <w:bCs/>
      <w:color w:val="2A2520"/>
      <w:sz w:val="30"/>
      <w:szCs w:val="30"/>
    </w:rPr>
  </w:style>
  <w:style w:type="paragraph" w:styleId="Heading2">
    <w:name w:val="Heading 2"/>
    <w:basedOn w:val="Normal"/>
    <w:next w:val="Normal"/>
    <w:qFormat/>
    <w:pPr>
      <w:spacing w:before="240" w:after="120"/>
      <w:outlineLvl w:val="1"/>
    </w:pPr>
    <w:rPr>
      <w:rFonts w:ascii="Georgia" w:cs="Georgia" w:eastAsia="Georgia" w:hAnsi="Georgia"/>
      <w:b/>
      <w:bCs/>
      <w:color w:val="8B7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2026-02-26T00:56:09.388Z</dcterms:created>
  <dcterms:modified xsi:type="dcterms:W3CDTF">2026-02-26T00:56:09.389Z</dcterms:modified>
</cp:coreProperties>
</file>

<file path=docProps/custom.xml><?xml version="1.0" encoding="utf-8"?>
<Properties xmlns="http://schemas.openxmlformats.org/officeDocument/2006/custom-properties" xmlns:vt="http://schemas.openxmlformats.org/officeDocument/2006/docPropsVTypes"/>
</file>