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pPr>
      <w:r>
        <w:rPr>
          <w:rFonts w:ascii="Georgia" w:cs="Georgia" w:eastAsia="Georgia" w:hAnsi="Georgia"/>
          <w:b/>
          <w:bCs/>
          <w:color w:val="2A2520"/>
          <w:sz w:val="38"/>
          <w:szCs w:val="38"/>
        </w:rPr>
        <w:t xml:space="preserve">LICENSE AGREEMENT</w:t>
      </w:r>
    </w:p>
    <w:p>
      <w:pPr>
        <w:pBdr>
          <w:bottom w:val="single" w:color="8B7355" w:sz="6" w:space="8"/>
        </w:pBdr>
        <w:spacing w:after="200"/>
      </w:pPr>
      <w:r>
        <w:rPr>
          <w:rFonts w:ascii="Georgia" w:cs="Georgia" w:eastAsia="Georgia" w:hAnsi="Georgia"/>
          <w:color w:val="8B7355"/>
          <w:sz w:val="24"/>
          <w:szCs w:val="24"/>
        </w:rPr>
        <w:t xml:space="preserve">Creative Precision — Risk &amp; Routing Toolkit</w:t>
      </w:r>
    </w:p>
    <w:p>
      <w:pPr>
        <w:spacing w:after="100"/>
      </w:pPr>
    </w:p>
    <w:p>
      <w:pPr>
        <w:pStyle w:val="Heading1"/>
        <w:spacing w:before="300" w:after="180"/>
      </w:pPr>
      <w:r>
        <w:rPr>
          <w:rFonts w:ascii="Georgia" w:cs="Georgia" w:eastAsia="Georgia" w:hAnsi="Georgia"/>
          <w:b/>
          <w:bCs/>
          <w:color w:val="2A2520"/>
          <w:sz w:val="28"/>
          <w:szCs w:val="28"/>
        </w:rPr>
        <w:t xml:space="preserve">1. Grant of License</w:t>
      </w:r>
    </w:p>
    <w:p>
      <w:pPr>
        <w:spacing w:after="100"/>
      </w:pPr>
      <w:r>
        <w:rPr>
          <w:rFonts w:ascii="Arial" w:cs="Arial" w:eastAsia="Arial" w:hAnsi="Arial"/>
          <w:color w:val="6B6560"/>
          <w:sz w:val="20"/>
          <w:szCs w:val="20"/>
        </w:rPr>
        <w:t xml:space="preserve">By purchasing the Risk &amp; Routing Toolkit (“Product”), Gordon Chan / Creative Precision (“Licensor”) grants you (“Licensee”) a non-exclusive, non-transferable, revocable license to use the Product subject to the terms below.</w:t>
      </w:r>
    </w:p>
    <w:p>
      <w:pPr>
        <w:pStyle w:val="Heading1"/>
        <w:spacing w:before="300" w:after="180"/>
      </w:pPr>
      <w:r>
        <w:rPr>
          <w:rFonts w:ascii="Georgia" w:cs="Georgia" w:eastAsia="Georgia" w:hAnsi="Georgia"/>
          <w:b/>
          <w:bCs/>
          <w:color w:val="2A2520"/>
          <w:sz w:val="28"/>
          <w:szCs w:val="28"/>
        </w:rPr>
        <w:t xml:space="preserve">2. Permitted Use</w:t>
      </w:r>
    </w:p>
    <w:p>
      <w:pPr>
        <w:spacing w:after="100"/>
      </w:pPr>
      <w:r>
        <w:rPr>
          <w:rFonts w:ascii="Arial" w:cs="Arial" w:eastAsia="Arial" w:hAnsi="Arial"/>
          <w:color w:val="6B6560"/>
          <w:sz w:val="20"/>
          <w:szCs w:val="20"/>
        </w:rPr>
        <w:t xml:space="preserve">You MAY:</w:t>
      </w:r>
    </w:p>
    <w:p>
      <w:pPr>
        <w:spacing w:after="100"/>
      </w:pPr>
      <w:r>
        <w:rPr>
          <w:rFonts w:ascii="Arial" w:cs="Arial" w:eastAsia="Arial" w:hAnsi="Arial"/>
          <w:color w:val="6B6560"/>
          <w:sz w:val="20"/>
          <w:szCs w:val="20"/>
        </w:rPr>
        <w:t xml:space="preserve">• Use the Product within your organization for internal business purposes</w:t>
      </w:r>
    </w:p>
    <w:p>
      <w:pPr>
        <w:spacing w:after="100"/>
      </w:pPr>
      <w:r>
        <w:rPr>
          <w:rFonts w:ascii="Arial" w:cs="Arial" w:eastAsia="Arial" w:hAnsi="Arial"/>
          <w:color w:val="6B6560"/>
          <w:sz w:val="20"/>
          <w:szCs w:val="20"/>
        </w:rPr>
        <w:t xml:space="preserve">• Customize, adapt, and modify the templates for your organization’s specific needs</w:t>
      </w:r>
    </w:p>
    <w:p>
      <w:pPr>
        <w:spacing w:after="100"/>
      </w:pPr>
      <w:r>
        <w:rPr>
          <w:rFonts w:ascii="Arial" w:cs="Arial" w:eastAsia="Arial" w:hAnsi="Arial"/>
          <w:color w:val="6B6560"/>
          <w:sz w:val="20"/>
          <w:szCs w:val="20"/>
        </w:rPr>
        <w:t xml:space="preserve">• Print and distribute the materials within your organization to employees and contractors working on your governance implementation</w:t>
      </w:r>
    </w:p>
    <w:p>
      <w:pPr>
        <w:spacing w:after="100"/>
      </w:pPr>
      <w:r>
        <w:rPr>
          <w:rFonts w:ascii="Arial" w:cs="Arial" w:eastAsia="Arial" w:hAnsi="Arial"/>
          <w:color w:val="6B6560"/>
          <w:sz w:val="20"/>
          <w:szCs w:val="20"/>
        </w:rPr>
        <w:t xml:space="preserve">• Use the frameworks and methodologies described in the Product to inform your governance approach</w:t>
      </w:r>
    </w:p>
    <w:p>
      <w:pPr>
        <w:pStyle w:val="Heading1"/>
        <w:spacing w:before="300" w:after="180"/>
      </w:pPr>
      <w:r>
        <w:rPr>
          <w:rFonts w:ascii="Georgia" w:cs="Georgia" w:eastAsia="Georgia" w:hAnsi="Georgia"/>
          <w:b/>
          <w:bCs/>
          <w:color w:val="2A2520"/>
          <w:sz w:val="28"/>
          <w:szCs w:val="28"/>
        </w:rPr>
        <w:t xml:space="preserve">3. Prohibited Use</w:t>
      </w:r>
    </w:p>
    <w:p>
      <w:pPr>
        <w:spacing w:after="100"/>
      </w:pPr>
      <w:r>
        <w:rPr>
          <w:rFonts w:ascii="Arial" w:cs="Arial" w:eastAsia="Arial" w:hAnsi="Arial"/>
          <w:color w:val="6B6560"/>
          <w:sz w:val="20"/>
          <w:szCs w:val="20"/>
        </w:rPr>
        <w:t xml:space="preserve">You MAY NOT:</w:t>
      </w:r>
    </w:p>
    <w:p>
      <w:pPr>
        <w:spacing w:after="100"/>
      </w:pPr>
      <w:r>
        <w:rPr>
          <w:rFonts w:ascii="Arial" w:cs="Arial" w:eastAsia="Arial" w:hAnsi="Arial"/>
          <w:color w:val="6B6560"/>
          <w:sz w:val="20"/>
          <w:szCs w:val="20"/>
        </w:rPr>
        <w:t xml:space="preserve">• Redistribute, resell, sublicense, or share the Product (in original or modified form) outside your organization</w:t>
      </w:r>
    </w:p>
    <w:p>
      <w:pPr>
        <w:spacing w:after="100"/>
      </w:pPr>
      <w:r>
        <w:rPr>
          <w:rFonts w:ascii="Arial" w:cs="Arial" w:eastAsia="Arial" w:hAnsi="Arial"/>
          <w:color w:val="6B6560"/>
          <w:sz w:val="20"/>
          <w:szCs w:val="20"/>
        </w:rPr>
        <w:t xml:space="preserve">• Post the Product or any substantial portion on the internet, intranet accessible to non-employees, or any public or semi-public forum</w:t>
      </w:r>
    </w:p>
    <w:p>
      <w:pPr>
        <w:spacing w:after="100"/>
      </w:pPr>
      <w:r>
        <w:rPr>
          <w:rFonts w:ascii="Arial" w:cs="Arial" w:eastAsia="Arial" w:hAnsi="Arial"/>
          <w:color w:val="6B6560"/>
          <w:sz w:val="20"/>
          <w:szCs w:val="20"/>
        </w:rPr>
        <w:t xml:space="preserve">• Use the Product to create a competing product or service</w:t>
      </w:r>
    </w:p>
    <w:p>
      <w:pPr>
        <w:spacing w:after="100"/>
      </w:pPr>
      <w:r>
        <w:rPr>
          <w:rFonts w:ascii="Arial" w:cs="Arial" w:eastAsia="Arial" w:hAnsi="Arial"/>
          <w:color w:val="6B6560"/>
          <w:sz w:val="20"/>
          <w:szCs w:val="20"/>
        </w:rPr>
        <w:t xml:space="preserve">• Remove, alter, or obscure any copyright notices, watermarks, or attribution within the Product</w:t>
      </w:r>
    </w:p>
    <w:p>
      <w:pPr>
        <w:spacing w:after="100"/>
      </w:pPr>
      <w:r>
        <w:rPr>
          <w:rFonts w:ascii="Arial" w:cs="Arial" w:eastAsia="Arial" w:hAnsi="Arial"/>
          <w:color w:val="6B6560"/>
          <w:sz w:val="20"/>
          <w:szCs w:val="20"/>
        </w:rPr>
        <w:t xml:space="preserve">• Claim authorship of the frameworks, methodologies, or content contained in the Product</w:t>
      </w:r>
    </w:p>
    <w:p>
      <w:pPr>
        <w:spacing w:after="100"/>
      </w:pPr>
      <w:r>
        <w:rPr>
          <w:rFonts w:ascii="Arial" w:cs="Arial" w:eastAsia="Arial" w:hAnsi="Arial"/>
          <w:color w:val="6B6560"/>
          <w:sz w:val="20"/>
          <w:szCs w:val="20"/>
        </w:rPr>
        <w:t xml:space="preserve">• Use the Product for training AI or machine learning models</w:t>
      </w:r>
    </w:p>
    <w:p>
      <w:pPr>
        <w:pStyle w:val="Heading1"/>
        <w:spacing w:before="300" w:after="180"/>
      </w:pPr>
      <w:r>
        <w:rPr>
          <w:rFonts w:ascii="Georgia" w:cs="Georgia" w:eastAsia="Georgia" w:hAnsi="Georgia"/>
          <w:b/>
          <w:bCs/>
          <w:color w:val="2A2520"/>
          <w:sz w:val="28"/>
          <w:szCs w:val="28"/>
        </w:rPr>
        <w:t xml:space="preserve">4. Intellectual Property</w:t>
      </w:r>
    </w:p>
    <w:p>
      <w:pPr>
        <w:spacing w:after="100"/>
      </w:pPr>
      <w:r>
        <w:rPr>
          <w:rFonts w:ascii="Arial" w:cs="Arial" w:eastAsia="Arial" w:hAnsi="Arial"/>
          <w:color w:val="6B6560"/>
          <w:sz w:val="20"/>
          <w:szCs w:val="20"/>
        </w:rPr>
        <w:t xml:space="preserve">All intellectual property rights in the Product remain with Gordon Chan / Creative Precision. This includes but is not limited to:</w:t>
      </w:r>
    </w:p>
    <w:p>
      <w:pPr>
        <w:spacing w:after="100"/>
      </w:pPr>
      <w:r>
        <w:rPr>
          <w:rFonts w:ascii="Arial" w:cs="Arial" w:eastAsia="Arial" w:hAnsi="Arial"/>
          <w:color w:val="6B6560"/>
          <w:sz w:val="20"/>
          <w:szCs w:val="20"/>
        </w:rPr>
        <w:t xml:space="preserve">• The Creative Precision Governance Fabric architecture and methodology</w:t>
      </w:r>
    </w:p>
    <w:p>
      <w:pPr>
        <w:spacing w:after="100"/>
      </w:pPr>
      <w:r>
        <w:rPr>
          <w:rFonts w:ascii="Arial" w:cs="Arial" w:eastAsia="Arial" w:hAnsi="Arial"/>
          <w:color w:val="6B6560"/>
          <w:sz w:val="20"/>
          <w:szCs w:val="20"/>
        </w:rPr>
        <w:t xml:space="preserve">• The Multi-Speed Lane governance model</w:t>
      </w:r>
    </w:p>
    <w:p>
      <w:pPr>
        <w:spacing w:after="100"/>
      </w:pPr>
      <w:r>
        <w:rPr>
          <w:rFonts w:ascii="Arial" w:cs="Arial" w:eastAsia="Arial" w:hAnsi="Arial"/>
          <w:color w:val="6B6560"/>
          <w:sz w:val="20"/>
          <w:szCs w:val="20"/>
        </w:rPr>
        <w:t xml:space="preserve">• The Risk Assessment Questionnaire design, dimensions, and scoring methodology</w:t>
      </w:r>
    </w:p>
    <w:p>
      <w:pPr>
        <w:spacing w:after="100"/>
      </w:pPr>
      <w:r>
        <w:rPr>
          <w:rFonts w:ascii="Arial" w:cs="Arial" w:eastAsia="Arial" w:hAnsi="Arial"/>
          <w:color w:val="6B6560"/>
          <w:sz w:val="20"/>
          <w:szCs w:val="20"/>
        </w:rPr>
        <w:t xml:space="preserve">• The Routing Decision Tree logic and visual design</w:t>
      </w:r>
    </w:p>
    <w:p>
      <w:pPr>
        <w:spacing w:after="100"/>
      </w:pPr>
      <w:r>
        <w:rPr>
          <w:rFonts w:ascii="Arial" w:cs="Arial" w:eastAsia="Arial" w:hAnsi="Arial"/>
          <w:color w:val="6B6560"/>
          <w:sz w:val="20"/>
          <w:szCs w:val="20"/>
        </w:rPr>
        <w:t xml:space="preserve">• All document templates, frameworks, and supporting materials</w:t>
      </w:r>
    </w:p>
    <w:p>
      <w:pPr>
        <w:spacing w:after="60"/>
      </w:pPr>
    </w:p>
    <w:p>
      <w:pPr>
        <w:spacing w:after="100"/>
      </w:pPr>
      <w:r>
        <w:rPr>
          <w:rFonts w:ascii="Arial" w:cs="Arial" w:eastAsia="Arial" w:hAnsi="Arial"/>
          <w:color w:val="6B6560"/>
          <w:sz w:val="20"/>
          <w:szCs w:val="20"/>
        </w:rPr>
        <w:t xml:space="preserve">Customizations you make to the templates for your organization become your property, but the underlying framework and methodology remain the property of the Licensor.</w:t>
      </w:r>
    </w:p>
    <w:p>
      <w:pPr>
        <w:pStyle w:val="Heading1"/>
        <w:spacing w:before="300" w:after="180"/>
      </w:pPr>
      <w:r>
        <w:rPr>
          <w:rFonts w:ascii="Georgia" w:cs="Georgia" w:eastAsia="Georgia" w:hAnsi="Georgia"/>
          <w:b/>
          <w:bCs/>
          <w:color w:val="2A2520"/>
          <w:sz w:val="28"/>
          <w:szCs w:val="28"/>
        </w:rPr>
        <w:t xml:space="preserve">5. Attribution</w:t>
      </w:r>
    </w:p>
    <w:p>
      <w:pPr>
        <w:spacing w:after="100"/>
      </w:pPr>
      <w:r>
        <w:rPr>
          <w:rFonts w:ascii="Arial" w:cs="Arial" w:eastAsia="Arial" w:hAnsi="Arial"/>
          <w:color w:val="6B6560"/>
          <w:sz w:val="20"/>
          <w:szCs w:val="20"/>
        </w:rPr>
        <w:t xml:space="preserve">When using the Product internally, you agree to maintain the Creative Precision attribution in document footers and headers. If you reference the methodology in external communications, presentations, or publications, attribution to Creative Precision is required.</w:t>
      </w:r>
    </w:p>
    <w:p>
      <w:pPr>
        <w:pStyle w:val="Heading1"/>
        <w:spacing w:before="300" w:after="180"/>
      </w:pPr>
      <w:r>
        <w:rPr>
          <w:rFonts w:ascii="Georgia" w:cs="Georgia" w:eastAsia="Georgia" w:hAnsi="Georgia"/>
          <w:b/>
          <w:bCs/>
          <w:color w:val="2A2520"/>
          <w:sz w:val="28"/>
          <w:szCs w:val="28"/>
        </w:rPr>
        <w:t xml:space="preserve">6. Warranty &amp; Liability</w:t>
      </w:r>
    </w:p>
    <w:p>
      <w:pPr>
        <w:spacing w:after="100"/>
      </w:pPr>
      <w:r>
        <w:rPr>
          <w:rFonts w:ascii="Arial" w:cs="Arial" w:eastAsia="Arial" w:hAnsi="Arial"/>
          <w:color w:val="6B6560"/>
          <w:sz w:val="20"/>
          <w:szCs w:val="20"/>
        </w:rPr>
        <w:t xml:space="preserve">The Product is provided “as is” without warranty of any kind. The Licensor is not liable for any damages arising from the use of the Product. The Product is designed as a governance framework and does not constitute legal, regulatory, or compliance advice. Consult qualified professionals for legal and regulatory matters.</w:t>
      </w:r>
    </w:p>
    <w:p>
      <w:pPr>
        <w:pStyle w:val="Heading1"/>
        <w:spacing w:before="300" w:after="180"/>
      </w:pPr>
      <w:r>
        <w:rPr>
          <w:rFonts w:ascii="Georgia" w:cs="Georgia" w:eastAsia="Georgia" w:hAnsi="Georgia"/>
          <w:b/>
          <w:bCs/>
          <w:color w:val="2A2520"/>
          <w:sz w:val="28"/>
          <w:szCs w:val="28"/>
        </w:rPr>
        <w:t xml:space="preserve">7. Term &amp; Termination</w:t>
      </w:r>
    </w:p>
    <w:p>
      <w:pPr>
        <w:spacing w:after="100"/>
      </w:pPr>
      <w:r>
        <w:rPr>
          <w:rFonts w:ascii="Arial" w:cs="Arial" w:eastAsia="Arial" w:hAnsi="Arial"/>
          <w:color w:val="6B6560"/>
          <w:sz w:val="20"/>
          <w:szCs w:val="20"/>
        </w:rPr>
        <w:t xml:space="preserve">This license is effective from the date of purchase and continues in perpetuity for the version purchased, subject to compliance with these terms. The Licensor may terminate this license if the Licensee violates any terms. Upon termination, you must destroy all copies of the Product.</w:t>
      </w:r>
    </w:p>
    <w:p>
      <w:pPr>
        <w:pStyle w:val="Heading1"/>
        <w:spacing w:before="300" w:after="180"/>
      </w:pPr>
      <w:r>
        <w:rPr>
          <w:rFonts w:ascii="Georgia" w:cs="Georgia" w:eastAsia="Georgia" w:hAnsi="Georgia"/>
          <w:b/>
          <w:bCs/>
          <w:color w:val="2A2520"/>
          <w:sz w:val="28"/>
          <w:szCs w:val="28"/>
        </w:rPr>
        <w:t xml:space="preserve">8. Governing Law</w:t>
      </w:r>
    </w:p>
    <w:p>
      <w:pPr>
        <w:spacing w:after="100"/>
      </w:pPr>
      <w:r>
        <w:rPr>
          <w:rFonts w:ascii="Arial" w:cs="Arial" w:eastAsia="Arial" w:hAnsi="Arial"/>
          <w:color w:val="6B6560"/>
          <w:sz w:val="20"/>
          <w:szCs w:val="20"/>
        </w:rPr>
        <w:t xml:space="preserve">This agreement is governed by the laws of the State of Texas, United States. Any disputes shall be resolved in the courts of Travis County, Texas.</w:t>
      </w:r>
    </w:p>
    <w:p>
      <w:pPr>
        <w:spacing w:after="200"/>
      </w:pPr>
    </w:p>
    <w:p>
      <w:pPr>
        <w:pBdr>
          <w:top w:val="single" w:color="8B7355" w:sz="2" w:space="8"/>
        </w:pBdr>
        <w:spacing w:after="200"/>
      </w:pPr>
    </w:p>
    <w:p>
      <w:pPr>
        <w:spacing w:after="100"/>
      </w:pPr>
      <w:r>
        <w:rPr>
          <w:rFonts w:ascii="Arial" w:cs="Arial" w:eastAsia="Arial" w:hAnsi="Arial"/>
          <w:b/>
          <w:bCs/>
          <w:color w:val="2A2520"/>
          <w:sz w:val="20"/>
          <w:szCs w:val="20"/>
        </w:rPr>
        <w:t xml:space="preserve">© 2026 Gordon Chan / Creative Precision. All rights reserved.</w:t>
      </w:r>
    </w:p>
    <w:p>
      <w:pPr>
        <w:spacing w:after="100"/>
      </w:pPr>
      <w:r>
        <w:rPr>
          <w:rFonts w:ascii="Arial" w:cs="Arial" w:eastAsia="Arial" w:hAnsi="Arial"/>
          <w:color w:val="8B7355"/>
          <w:sz w:val="20"/>
          <w:szCs w:val="20"/>
        </w:rPr>
        <w:t xml:space="preserve">creativeprecision.io  |  gordon@creativeprecision.io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4"/>
        <w:szCs w:val="14"/>
      </w:rPr>
      <w:t xml:space="preserve">© 2026 Gordon Chan / Creative Precision.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560"/>
        <w:sz w:val="14"/>
        <w:szCs w:val="14"/>
      </w:rPr>
      <w:t xml:space="preserve">CREATIVE PRECISION  |  LICENSE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Georgia" w:cs="Georgia" w:eastAsia="Georgia" w:hAnsi="Georgia"/>
      <w:b/>
      <w:bCs/>
      <w:color w:val="2A252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2026-02-25T01:03:59.209Z</dcterms:created>
  <dcterms:modified xsi:type="dcterms:W3CDTF">2026-02-25T01:03:59.210Z</dcterms:modified>
</cp:coreProperties>
</file>

<file path=docProps/custom.xml><?xml version="1.0" encoding="utf-8"?>
<Properties xmlns="http://schemas.openxmlformats.org/officeDocument/2006/custom-properties" xmlns:vt="http://schemas.openxmlformats.org/officeDocument/2006/docPropsVTypes"/>
</file>