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pPr>
    </w:p>
    <w:p>
      <w:pPr>
        <w:spacing w:after="40"/>
      </w:pPr>
      <w:r>
        <w:rPr>
          <w:rFonts w:ascii="Arial" w:cs="Arial" w:eastAsia="Arial" w:hAnsi="Arial"/>
          <w:b/>
          <w:bCs/>
          <w:color w:val="1F2937"/>
          <w:sz w:val="36"/>
          <w:szCs w:val="36"/>
        </w:rPr>
        <w:t xml:space="preserve">Governance Reference Guide</w:t>
      </w:r>
    </w:p>
    <w:p>
      <w:pPr>
        <w:spacing w:after="40"/>
      </w:pPr>
      <w:r>
        <w:rPr>
          <w:rFonts w:ascii="Arial" w:cs="Arial" w:eastAsia="Arial" w:hAnsi="Arial"/>
          <w:color w:val="2563EB"/>
          <w:sz w:val="24"/>
          <w:szCs w:val="24"/>
        </w:rPr>
        <w:t xml:space="preserve">AI Governance Operating System</w:t>
      </w:r>
    </w:p>
    <w:p>
      <w:pPr>
        <w:pBdr>
          <w:bottom w:val="single" w:color="2563EB" w:sz="4" w:space="8"/>
        </w:pBdr>
        <w:spacing w:after="200"/>
      </w:pPr>
    </w:p>
    <w:p>
      <w:pPr>
        <w:spacing w:after="100"/>
      </w:pPr>
      <w:r>
        <w:rPr>
          <w:rFonts w:ascii="Arial" w:cs="Arial" w:eastAsia="Arial" w:hAnsi="Arial"/>
          <w:color w:val="4B5563"/>
          <w:sz w:val="20"/>
          <w:szCs w:val="20"/>
        </w:rPr>
        <w:t xml:space="preserve">Complete documentation for the governance architecture, organizational design, lifecycle management, technical standards, vendor governance, change management, and value measurement.</w:t>
      </w:r>
    </w:p>
    <w:p>
      <w:pPr>
        <w:spacing w:after="200"/>
      </w:pPr>
    </w:p>
    <w:p>
      <w:pPr>
        <w:spacing w:after="100"/>
      </w:pPr>
      <w:r>
        <w:rPr>
          <w:rFonts w:ascii="Arial" w:cs="Arial" w:eastAsia="Arial" w:hAnsi="Arial"/>
          <w:color w:val="9CA3AF"/>
          <w:sz w:val="20"/>
          <w:szCs w:val="20"/>
        </w:rPr>
        <w:t xml:space="preserve">Version 1.0  |  February 2026  |  Gordon Chan  |  Creative Precision</w:t>
      </w:r>
    </w:p>
    <w:p>
      <w:pPr>
        <w:spacing w:after="100"/>
      </w:pPr>
      <w:r>
        <w:rPr>
          <w:rFonts w:ascii="Arial" w:cs="Arial" w:eastAsia="Arial" w:hAnsi="Arial"/>
          <w:color w:val="9CA3AF"/>
          <w:sz w:val="20"/>
          <w:szCs w:val="20"/>
        </w:rPr>
        <w:t xml:space="preserve">© 2026 Gordon Chan / Creative Precision. All rights reserved.</w:t>
      </w:r>
    </w:p>
    <w:p>
      <w:r>
        <w:br w:type="page"/>
      </w:r>
    </w:p>
    <w:p>
      <w:pPr>
        <w:spacing w:after="200"/>
      </w:pPr>
      <w:r>
        <w:rPr>
          <w:rFonts w:ascii="Arial" w:cs="Arial" w:eastAsia="Arial" w:hAnsi="Arial"/>
          <w:b/>
          <w:bCs/>
          <w:color w:val="1F2937"/>
          <w:sz w:val="28"/>
          <w:szCs w:val="28"/>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before="360" w:after="180"/>
      </w:pPr>
      <w:r>
        <w:rPr>
          <w:rFonts w:ascii="Arial" w:cs="Arial" w:eastAsia="Arial" w:hAnsi="Arial"/>
          <w:b/>
          <w:bCs/>
          <w:color w:val="1F2937"/>
          <w:sz w:val="28"/>
          <w:szCs w:val="28"/>
        </w:rPr>
        <w:t xml:space="preserve">1. Governance Architecture</w:t>
      </w:r>
    </w:p>
    <w:p>
      <w:pPr>
        <w:spacing w:after="100"/>
      </w:pPr>
      <w:r>
        <w:rPr>
          <w:rFonts w:ascii="Arial" w:cs="Arial" w:eastAsia="Arial" w:hAnsi="Arial"/>
          <w:color w:val="4B5563"/>
          <w:sz w:val="20"/>
          <w:szCs w:val="20"/>
        </w:rPr>
        <w:t xml:space="preserve">The governance system is designed around one principle: governance proportionate to risk. Low-risk AI gets lightweight oversight. High-risk AI gets rigorous review. The architecture ensures nothing falls through the cracks while avoiding unnecessary friction for low-risk use cases.</w:t>
      </w:r>
    </w:p>
    <w:p>
      <w:pPr>
        <w:spacing w:after="60"/>
      </w:pPr>
    </w:p>
    <w:p>
      <w:pPr>
        <w:pStyle w:val="Heading2"/>
        <w:spacing w:before="260" w:after="140"/>
      </w:pPr>
      <w:r>
        <w:rPr>
          <w:rFonts w:ascii="Arial" w:cs="Arial" w:eastAsia="Arial" w:hAnsi="Arial"/>
          <w:b/>
          <w:bCs/>
          <w:color w:val="1F2937"/>
          <w:sz w:val="22"/>
          <w:szCs w:val="22"/>
        </w:rPr>
        <w:t xml:space="preserve">1.1 The Governance Layers</w:t>
      </w:r>
    </w:p>
    <w:p>
      <w:pPr>
        <w:spacing w:after="100"/>
      </w:pPr>
      <w:r>
        <w:rPr>
          <w:rFonts w:ascii="Arial" w:cs="Arial" w:eastAsia="Arial" w:hAnsi="Arial"/>
          <w:color w:val="4B5563"/>
          <w:sz w:val="20"/>
          <w:szCs w:val="20"/>
        </w:rPr>
        <w:t xml:space="preserve">The system organizes governance into functional layers. Each layer addresses a specific governance need. Together they form a complete operating system.</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3860"/>
        <w:gridCol w:w="2800"/>
      </w:tblGrid>
      <w:tr>
        <w:tc>
          <w:tcPr>
            <w:tcW w:type="dxa" w:w="7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Layer</w:t>
            </w:r>
          </w:p>
        </w:tc>
        <w:tc>
          <w:tcPr>
            <w:tcW w:type="dxa" w:w="20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Name</w:t>
            </w:r>
          </w:p>
        </w:tc>
        <w:tc>
          <w:tcPr>
            <w:tcW w:type="dxa" w:w="386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Function</w:t>
            </w:r>
          </w:p>
        </w:tc>
        <w:tc>
          <w:tcPr>
            <w:tcW w:type="dxa" w:w="28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Key Artifacts</w:t>
            </w:r>
          </w:p>
        </w:tc>
      </w:tr>
      <w:tr>
        <w:tc>
          <w:tcPr>
            <w:tcW w:type="dxa" w:w="7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center"/>
            </w:pPr>
            <w:r>
              <w:rPr>
                <w:rFonts w:ascii="Arial" w:cs="Arial" w:eastAsia="Arial" w:hAnsi="Arial"/>
                <w:b/>
                <w:bCs/>
                <w:i w:val="false"/>
                <w:iCs w:val="false"/>
                <w:color w:val="1F2937"/>
                <w:sz w:val="18"/>
                <w:szCs w:val="18"/>
              </w:rPr>
              <w:t xml:space="preserve">L0</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left"/>
            </w:pPr>
            <w:r>
              <w:rPr>
                <w:rFonts w:ascii="Arial" w:cs="Arial" w:eastAsia="Arial" w:hAnsi="Arial"/>
                <w:b/>
                <w:bCs/>
                <w:i w:val="false"/>
                <w:iCs w:val="false"/>
                <w:color w:val="1F2937"/>
                <w:sz w:val="18"/>
                <w:szCs w:val="18"/>
              </w:rPr>
              <w:t xml:space="preserve">Policy &amp; Principles</w:t>
            </w:r>
          </w:p>
        </w:tc>
        <w:tc>
          <w:tcPr>
            <w:tcW w:type="dxa" w:w="38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18"/>
                <w:szCs w:val="18"/>
              </w:rPr>
              <w:t xml:space="preserve">Defines what the organization stands for regarding AI use</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9CA3AF"/>
                <w:sz w:val="18"/>
                <w:szCs w:val="18"/>
              </w:rPr>
              <w:t xml:space="preserve">AI Use Policy, AI Principles</w:t>
            </w:r>
          </w:p>
        </w:tc>
      </w:tr>
      <w:tr>
        <w:tc>
          <w:tcPr>
            <w:tcW w:type="dxa" w:w="7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jc w:val="center"/>
            </w:pPr>
            <w:r>
              <w:rPr>
                <w:rFonts w:ascii="Arial" w:cs="Arial" w:eastAsia="Arial" w:hAnsi="Arial"/>
                <w:b/>
                <w:bCs/>
                <w:i w:val="false"/>
                <w:iCs w:val="false"/>
                <w:color w:val="1F2937"/>
                <w:sz w:val="18"/>
                <w:szCs w:val="18"/>
              </w:rPr>
              <w:t xml:space="preserve">L1</w:t>
            </w:r>
          </w:p>
        </w:tc>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jc w:val="left"/>
            </w:pPr>
            <w:r>
              <w:rPr>
                <w:rFonts w:ascii="Arial" w:cs="Arial" w:eastAsia="Arial" w:hAnsi="Arial"/>
                <w:b/>
                <w:bCs/>
                <w:i w:val="false"/>
                <w:iCs w:val="false"/>
                <w:color w:val="1F2937"/>
                <w:sz w:val="18"/>
                <w:szCs w:val="18"/>
              </w:rPr>
              <w:t xml:space="preserve">Organization Design</w:t>
            </w:r>
          </w:p>
        </w:tc>
        <w:tc>
          <w:tcPr>
            <w:tcW w:type="dxa" w:w="386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18"/>
                <w:szCs w:val="18"/>
              </w:rPr>
              <w:t xml:space="preserve">Defines who is responsible for governance</w:t>
            </w:r>
          </w:p>
        </w:tc>
        <w:tc>
          <w:tcPr>
            <w:tcW w:type="dxa" w:w="28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9CA3AF"/>
                <w:sz w:val="18"/>
                <w:szCs w:val="18"/>
              </w:rPr>
              <w:t xml:space="preserve">CoE Charter, RACI, Decision Rights</w:t>
            </w:r>
          </w:p>
        </w:tc>
      </w:tr>
      <w:tr>
        <w:tc>
          <w:tcPr>
            <w:tcW w:type="dxa" w:w="7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center"/>
            </w:pPr>
            <w:r>
              <w:rPr>
                <w:rFonts w:ascii="Arial" w:cs="Arial" w:eastAsia="Arial" w:hAnsi="Arial"/>
                <w:b/>
                <w:bCs/>
                <w:i w:val="false"/>
                <w:iCs w:val="false"/>
                <w:color w:val="1F2937"/>
                <w:sz w:val="18"/>
                <w:szCs w:val="18"/>
              </w:rPr>
              <w:t xml:space="preserve">L2</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left"/>
            </w:pPr>
            <w:r>
              <w:rPr>
                <w:rFonts w:ascii="Arial" w:cs="Arial" w:eastAsia="Arial" w:hAnsi="Arial"/>
                <w:b/>
                <w:bCs/>
                <w:i w:val="false"/>
                <w:iCs w:val="false"/>
                <w:color w:val="1F2937"/>
                <w:sz w:val="18"/>
                <w:szCs w:val="18"/>
              </w:rPr>
              <w:t xml:space="preserve">Risk &amp; Classification</w:t>
            </w:r>
          </w:p>
        </w:tc>
        <w:tc>
          <w:tcPr>
            <w:tcW w:type="dxa" w:w="38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18"/>
                <w:szCs w:val="18"/>
              </w:rPr>
              <w:t xml:space="preserve">Classifies AI systems by risk and routes to governance lanes</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9CA3AF"/>
                <w:sz w:val="18"/>
                <w:szCs w:val="18"/>
              </w:rPr>
              <w:t xml:space="preserve">Risk Assessment, Scoring Matrix, Routing Tree</w:t>
            </w:r>
          </w:p>
        </w:tc>
      </w:tr>
      <w:tr>
        <w:tc>
          <w:tcPr>
            <w:tcW w:type="dxa" w:w="7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jc w:val="center"/>
            </w:pPr>
            <w:r>
              <w:rPr>
                <w:rFonts w:ascii="Arial" w:cs="Arial" w:eastAsia="Arial" w:hAnsi="Arial"/>
                <w:b/>
                <w:bCs/>
                <w:i w:val="false"/>
                <w:iCs w:val="false"/>
                <w:color w:val="1F2937"/>
                <w:sz w:val="18"/>
                <w:szCs w:val="18"/>
              </w:rPr>
              <w:t xml:space="preserve">L3</w:t>
            </w:r>
          </w:p>
        </w:tc>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jc w:val="left"/>
            </w:pPr>
            <w:r>
              <w:rPr>
                <w:rFonts w:ascii="Arial" w:cs="Arial" w:eastAsia="Arial" w:hAnsi="Arial"/>
                <w:b/>
                <w:bCs/>
                <w:i w:val="false"/>
                <w:iCs w:val="false"/>
                <w:color w:val="1F2937"/>
                <w:sz w:val="18"/>
                <w:szCs w:val="18"/>
              </w:rPr>
              <w:t xml:space="preserve">Lifecycle Management</w:t>
            </w:r>
          </w:p>
        </w:tc>
        <w:tc>
          <w:tcPr>
            <w:tcW w:type="dxa" w:w="386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18"/>
                <w:szCs w:val="18"/>
              </w:rPr>
              <w:t xml:space="preserve">Manages AI from intake to retirement through gates</w:t>
            </w:r>
          </w:p>
        </w:tc>
        <w:tc>
          <w:tcPr>
            <w:tcW w:type="dxa" w:w="28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9CA3AF"/>
                <w:sz w:val="18"/>
                <w:szCs w:val="18"/>
              </w:rPr>
              <w:t xml:space="preserve">Gate Checklists, Lane Documentation</w:t>
            </w:r>
          </w:p>
        </w:tc>
      </w:tr>
      <w:tr>
        <w:tc>
          <w:tcPr>
            <w:tcW w:type="dxa" w:w="7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center"/>
            </w:pPr>
            <w:r>
              <w:rPr>
                <w:rFonts w:ascii="Arial" w:cs="Arial" w:eastAsia="Arial" w:hAnsi="Arial"/>
                <w:b/>
                <w:bCs/>
                <w:i w:val="false"/>
                <w:iCs w:val="false"/>
                <w:color w:val="1F2937"/>
                <w:sz w:val="18"/>
                <w:szCs w:val="18"/>
              </w:rPr>
              <w:t xml:space="preserve">L4</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left"/>
            </w:pPr>
            <w:r>
              <w:rPr>
                <w:rFonts w:ascii="Arial" w:cs="Arial" w:eastAsia="Arial" w:hAnsi="Arial"/>
                <w:b/>
                <w:bCs/>
                <w:i w:val="false"/>
                <w:iCs w:val="false"/>
                <w:color w:val="1F2937"/>
                <w:sz w:val="18"/>
                <w:szCs w:val="18"/>
              </w:rPr>
              <w:t xml:space="preserve">Technical Standards</w:t>
            </w:r>
          </w:p>
        </w:tc>
        <w:tc>
          <w:tcPr>
            <w:tcW w:type="dxa" w:w="38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18"/>
                <w:szCs w:val="18"/>
              </w:rPr>
              <w:t xml:space="preserve">Sets minimum technical requirements for AI systems</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9CA3AF"/>
                <w:sz w:val="18"/>
                <w:szCs w:val="18"/>
              </w:rPr>
              <w:t xml:space="preserve">Model Cards, Technical Standards Guide</w:t>
            </w:r>
          </w:p>
        </w:tc>
      </w:tr>
      <w:tr>
        <w:tc>
          <w:tcPr>
            <w:tcW w:type="dxa" w:w="7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jc w:val="center"/>
            </w:pPr>
            <w:r>
              <w:rPr>
                <w:rFonts w:ascii="Arial" w:cs="Arial" w:eastAsia="Arial" w:hAnsi="Arial"/>
                <w:b/>
                <w:bCs/>
                <w:i w:val="false"/>
                <w:iCs w:val="false"/>
                <w:color w:val="1F2937"/>
                <w:sz w:val="18"/>
                <w:szCs w:val="18"/>
              </w:rPr>
              <w:t xml:space="preserve">L5</w:t>
            </w:r>
          </w:p>
        </w:tc>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jc w:val="left"/>
            </w:pPr>
            <w:r>
              <w:rPr>
                <w:rFonts w:ascii="Arial" w:cs="Arial" w:eastAsia="Arial" w:hAnsi="Arial"/>
                <w:b/>
                <w:bCs/>
                <w:i w:val="false"/>
                <w:iCs w:val="false"/>
                <w:color w:val="1F2937"/>
                <w:sz w:val="18"/>
                <w:szCs w:val="18"/>
              </w:rPr>
              <w:t xml:space="preserve">Documentation</w:t>
            </w:r>
          </w:p>
        </w:tc>
        <w:tc>
          <w:tcPr>
            <w:tcW w:type="dxa" w:w="386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18"/>
                <w:szCs w:val="18"/>
              </w:rPr>
              <w:t xml:space="preserve">Creates the evidence trail for decisions and system behavior</w:t>
            </w:r>
          </w:p>
        </w:tc>
        <w:tc>
          <w:tcPr>
            <w:tcW w:type="dxa" w:w="28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9CA3AF"/>
                <w:sz w:val="18"/>
                <w:szCs w:val="18"/>
              </w:rPr>
              <w:t xml:space="preserve">Model Cards, Gate Records, AI Inventory</w:t>
            </w:r>
          </w:p>
        </w:tc>
      </w:tr>
      <w:tr>
        <w:tc>
          <w:tcPr>
            <w:tcW w:type="dxa" w:w="7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center"/>
            </w:pPr>
            <w:r>
              <w:rPr>
                <w:rFonts w:ascii="Arial" w:cs="Arial" w:eastAsia="Arial" w:hAnsi="Arial"/>
                <w:b/>
                <w:bCs/>
                <w:i w:val="false"/>
                <w:iCs w:val="false"/>
                <w:color w:val="1F2937"/>
                <w:sz w:val="18"/>
                <w:szCs w:val="18"/>
              </w:rPr>
              <w:t xml:space="preserve">L6</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left"/>
            </w:pPr>
            <w:r>
              <w:rPr>
                <w:rFonts w:ascii="Arial" w:cs="Arial" w:eastAsia="Arial" w:hAnsi="Arial"/>
                <w:b/>
                <w:bCs/>
                <w:i w:val="false"/>
                <w:iCs w:val="false"/>
                <w:color w:val="1F2937"/>
                <w:sz w:val="18"/>
                <w:szCs w:val="18"/>
              </w:rPr>
              <w:t xml:space="preserve">Change Management</w:t>
            </w:r>
          </w:p>
        </w:tc>
        <w:tc>
          <w:tcPr>
            <w:tcW w:type="dxa" w:w="38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18"/>
                <w:szCs w:val="18"/>
              </w:rPr>
              <w:t xml:space="preserve">Ensures the organization can adopt and sustain AI</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9CA3AF"/>
                <w:sz w:val="18"/>
                <w:szCs w:val="18"/>
              </w:rPr>
              <w:t xml:space="preserve">Three-Register Assessment, Adoption Pulse</w:t>
            </w:r>
          </w:p>
        </w:tc>
      </w:tr>
      <w:tr>
        <w:tc>
          <w:tcPr>
            <w:tcW w:type="dxa" w:w="7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jc w:val="center"/>
            </w:pPr>
            <w:r>
              <w:rPr>
                <w:rFonts w:ascii="Arial" w:cs="Arial" w:eastAsia="Arial" w:hAnsi="Arial"/>
                <w:b/>
                <w:bCs/>
                <w:i w:val="false"/>
                <w:iCs w:val="false"/>
                <w:color w:val="1F2937"/>
                <w:sz w:val="18"/>
                <w:szCs w:val="18"/>
              </w:rPr>
              <w:t xml:space="preserve">L7</w:t>
            </w:r>
          </w:p>
        </w:tc>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jc w:val="left"/>
            </w:pPr>
            <w:r>
              <w:rPr>
                <w:rFonts w:ascii="Arial" w:cs="Arial" w:eastAsia="Arial" w:hAnsi="Arial"/>
                <w:b/>
                <w:bCs/>
                <w:i w:val="false"/>
                <w:iCs w:val="false"/>
                <w:color w:val="1F2937"/>
                <w:sz w:val="18"/>
                <w:szCs w:val="18"/>
              </w:rPr>
              <w:t xml:space="preserve">Vendor Governance</w:t>
            </w:r>
          </w:p>
        </w:tc>
        <w:tc>
          <w:tcPr>
            <w:tcW w:type="dxa" w:w="386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18"/>
                <w:szCs w:val="18"/>
              </w:rPr>
              <w:t xml:space="preserve">Governs third-party AI tools and SaaS AI features</w:t>
            </w:r>
          </w:p>
        </w:tc>
        <w:tc>
          <w:tcPr>
            <w:tcW w:type="dxa" w:w="28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9CA3AF"/>
                <w:sz w:val="18"/>
                <w:szCs w:val="18"/>
              </w:rPr>
              <w:t xml:space="preserve">Vendor Assessment Scorecard</w:t>
            </w:r>
          </w:p>
        </w:tc>
      </w:tr>
      <w:tr>
        <w:tc>
          <w:tcPr>
            <w:tcW w:type="dxa" w:w="7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center"/>
            </w:pPr>
            <w:r>
              <w:rPr>
                <w:rFonts w:ascii="Arial" w:cs="Arial" w:eastAsia="Arial" w:hAnsi="Arial"/>
                <w:b/>
                <w:bCs/>
                <w:i w:val="false"/>
                <w:iCs w:val="false"/>
                <w:color w:val="1F2937"/>
                <w:sz w:val="18"/>
                <w:szCs w:val="18"/>
              </w:rPr>
              <w:t xml:space="preserve">L8</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left"/>
            </w:pPr>
            <w:r>
              <w:rPr>
                <w:rFonts w:ascii="Arial" w:cs="Arial" w:eastAsia="Arial" w:hAnsi="Arial"/>
                <w:b/>
                <w:bCs/>
                <w:i w:val="false"/>
                <w:iCs w:val="false"/>
                <w:color w:val="1F2937"/>
                <w:sz w:val="18"/>
                <w:szCs w:val="18"/>
              </w:rPr>
              <w:t xml:space="preserve">Value Measurement</w:t>
            </w:r>
          </w:p>
        </w:tc>
        <w:tc>
          <w:tcPr>
            <w:tcW w:type="dxa" w:w="38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18"/>
                <w:szCs w:val="18"/>
              </w:rPr>
              <w:t xml:space="preserve">Tracks whether AI investments deliver business outcomes</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9CA3AF"/>
                <w:sz w:val="18"/>
                <w:szCs w:val="18"/>
              </w:rPr>
              <w:t xml:space="preserve">Value Realization Tracker</w:t>
            </w:r>
          </w:p>
        </w:tc>
      </w:tr>
    </w:tbl>
    <w:p>
      <w:pPr>
        <w:spacing w:after="80"/>
      </w:pPr>
    </w:p>
    <w:p>
      <w:pPr>
        <w:spacing w:after="100"/>
      </w:pPr>
      <w:r>
        <w:rPr>
          <w:rFonts w:ascii="Arial" w:cs="Arial" w:eastAsia="Arial" w:hAnsi="Arial"/>
          <w:i/>
          <w:iCs/>
          <w:color w:val="4B5563"/>
          <w:sz w:val="20"/>
          <w:szCs w:val="20"/>
        </w:rPr>
        <w:t xml:space="preserve">You do not need to deploy all layers at once. The 30-60-90 roadmap in the START HERE guide provides the recommended sequence. Layers L0–L3 are foundational and should be deployed first. Layers L4–L8 are operational and can be phased in as the governance program matures.</w:t>
      </w:r>
    </w:p>
    <w:p>
      <w:r>
        <w:br w:type="page"/>
      </w:r>
    </w:p>
    <w:p>
      <w:pPr>
        <w:pStyle w:val="Heading1"/>
        <w:spacing w:before="360" w:after="180"/>
      </w:pPr>
      <w:r>
        <w:rPr>
          <w:rFonts w:ascii="Arial" w:cs="Arial" w:eastAsia="Arial" w:hAnsi="Arial"/>
          <w:b/>
          <w:bCs/>
          <w:color w:val="1F2937"/>
          <w:sz w:val="28"/>
          <w:szCs w:val="28"/>
        </w:rPr>
        <w:t xml:space="preserve">2. Organizational Design</w:t>
      </w:r>
    </w:p>
    <w:p>
      <w:pPr>
        <w:spacing w:after="100"/>
      </w:pPr>
      <w:r>
        <w:rPr>
          <w:rFonts w:ascii="Arial" w:cs="Arial" w:eastAsia="Arial" w:hAnsi="Arial"/>
          <w:color w:val="4B5563"/>
          <w:sz w:val="20"/>
          <w:szCs w:val="20"/>
        </w:rPr>
        <w:t xml:space="preserve">Governance requires clear accountability. This chapter defines the governance bodies, roles, and operating rhythms that make the system work.</w:t>
      </w:r>
    </w:p>
    <w:p>
      <w:pPr>
        <w:spacing w:after="60"/>
      </w:pPr>
    </w:p>
    <w:p>
      <w:pPr>
        <w:pStyle w:val="Heading2"/>
        <w:spacing w:before="260" w:after="140"/>
      </w:pPr>
      <w:r>
        <w:rPr>
          <w:rFonts w:ascii="Arial" w:cs="Arial" w:eastAsia="Arial" w:hAnsi="Arial"/>
          <w:b/>
          <w:bCs/>
          <w:color w:val="1F2937"/>
          <w:sz w:val="22"/>
          <w:szCs w:val="22"/>
        </w:rPr>
        <w:t xml:space="preserve">2.1 Governance Core (Center of Excellence)</w:t>
      </w:r>
    </w:p>
    <w:p>
      <w:pPr>
        <w:spacing w:after="100"/>
      </w:pPr>
      <w:r>
        <w:rPr>
          <w:rFonts w:ascii="Arial" w:cs="Arial" w:eastAsia="Arial" w:hAnsi="Arial"/>
          <w:color w:val="4B5563"/>
          <w:sz w:val="20"/>
          <w:szCs w:val="20"/>
        </w:rPr>
        <w:t xml:space="preserve">The Governance Core is the central body responsible for setting standards, reviewing high-risk systems, and maintaining the governance framework. Use the CoE Charter template to formalize its composition and authority.</w:t>
      </w:r>
    </w:p>
    <w:p>
      <w:pPr>
        <w:spacing w:after="40"/>
      </w:pPr>
    </w:p>
    <w:p>
      <w:pPr>
        <w:spacing w:before="180" w:after="100"/>
      </w:pPr>
      <w:r>
        <w:rPr>
          <w:rFonts w:ascii="Arial" w:cs="Arial" w:eastAsia="Arial" w:hAnsi="Arial"/>
          <w:b/>
          <w:bCs/>
          <w:color w:val="2563EB"/>
          <w:sz w:val="20"/>
          <w:szCs w:val="20"/>
        </w:rPr>
        <w:t xml:space="preserve">Recommended Composition</w:t>
      </w:r>
    </w:p>
    <w:p>
      <w:pPr>
        <w:spacing w:after="60"/>
        <w:ind w:left="360"/>
      </w:pPr>
      <w:r>
        <w:rPr>
          <w:rFonts w:ascii="Arial" w:cs="Arial" w:eastAsia="Arial" w:hAnsi="Arial"/>
          <w:color w:val="4B5563"/>
          <w:sz w:val="20"/>
          <w:szCs w:val="20"/>
        </w:rPr>
        <w:t xml:space="preserve">• Executive Sponsor: Budget authority and strategic direction. Approves Strategic Lane deployments.</w:t>
      </w:r>
    </w:p>
    <w:p>
      <w:pPr>
        <w:spacing w:after="60"/>
        <w:ind w:left="360"/>
      </w:pPr>
      <w:r>
        <w:rPr>
          <w:rFonts w:ascii="Arial" w:cs="Arial" w:eastAsia="Arial" w:hAnsi="Arial"/>
          <w:color w:val="4B5563"/>
          <w:sz w:val="20"/>
          <w:szCs w:val="20"/>
        </w:rPr>
        <w:t xml:space="preserve">• AI Program Lead: Day-to-day governance operations. Chairs the governance review meetings.</w:t>
      </w:r>
    </w:p>
    <w:p>
      <w:pPr>
        <w:spacing w:after="60"/>
        <w:ind w:left="360"/>
      </w:pPr>
      <w:r>
        <w:rPr>
          <w:rFonts w:ascii="Arial" w:cs="Arial" w:eastAsia="Arial" w:hAnsi="Arial"/>
          <w:color w:val="4B5563"/>
          <w:sz w:val="20"/>
          <w:szCs w:val="20"/>
        </w:rPr>
        <w:t xml:space="preserve">• Risk/Compliance Representative: Regulatory awareness and risk management perspective.</w:t>
      </w:r>
    </w:p>
    <w:p>
      <w:pPr>
        <w:spacing w:after="60"/>
        <w:ind w:left="360"/>
      </w:pPr>
      <w:r>
        <w:rPr>
          <w:rFonts w:ascii="Arial" w:cs="Arial" w:eastAsia="Arial" w:hAnsi="Arial"/>
          <w:color w:val="4B5563"/>
          <w:sz w:val="20"/>
          <w:szCs w:val="20"/>
        </w:rPr>
        <w:t xml:space="preserve">• Data Governance Lead: Data quality, privacy, and access governance.</w:t>
      </w:r>
    </w:p>
    <w:p>
      <w:pPr>
        <w:spacing w:after="60"/>
        <w:ind w:left="360"/>
      </w:pPr>
      <w:r>
        <w:rPr>
          <w:rFonts w:ascii="Arial" w:cs="Arial" w:eastAsia="Arial" w:hAnsi="Arial"/>
          <w:color w:val="4B5563"/>
          <w:sz w:val="20"/>
          <w:szCs w:val="20"/>
        </w:rPr>
        <w:t xml:space="preserve">• Technical Lead: Architecture, security, and ML engineering perspective.</w:t>
      </w:r>
    </w:p>
    <w:p>
      <w:pPr>
        <w:spacing w:after="60"/>
        <w:ind w:left="360"/>
      </w:pPr>
      <w:r>
        <w:rPr>
          <w:rFonts w:ascii="Arial" w:cs="Arial" w:eastAsia="Arial" w:hAnsi="Arial"/>
          <w:color w:val="4B5563"/>
          <w:sz w:val="20"/>
          <w:szCs w:val="20"/>
        </w:rPr>
        <w:t xml:space="preserve">• Ethics/HR Representative: Workforce impact, fairness, and stakeholder perspective.</w:t>
      </w:r>
    </w:p>
    <w:p>
      <w:pPr>
        <w:spacing w:after="40"/>
      </w:pPr>
    </w:p>
    <w:p>
      <w:pPr>
        <w:spacing w:before="180" w:after="100"/>
      </w:pPr>
      <w:r>
        <w:rPr>
          <w:rFonts w:ascii="Arial" w:cs="Arial" w:eastAsia="Arial" w:hAnsi="Arial"/>
          <w:b/>
          <w:bCs/>
          <w:color w:val="2563EB"/>
          <w:sz w:val="20"/>
          <w:szCs w:val="20"/>
        </w:rPr>
        <w:t xml:space="preserve">Meeting Cadence</w:t>
      </w:r>
    </w:p>
    <w:p>
      <w:pPr>
        <w:spacing w:after="60"/>
        <w:ind w:left="360"/>
      </w:pPr>
      <w:r>
        <w:rPr>
          <w:rFonts w:ascii="Arial" w:cs="Arial" w:eastAsia="Arial" w:hAnsi="Arial"/>
          <w:color w:val="4B5563"/>
          <w:sz w:val="20"/>
          <w:szCs w:val="20"/>
        </w:rPr>
        <w:t xml:space="preserve">• Weekly (first 90 days): 30-minute standing review of active projects, new intakes, and escalations</w:t>
      </w:r>
    </w:p>
    <w:p>
      <w:pPr>
        <w:spacing w:after="60"/>
        <w:ind w:left="360"/>
      </w:pPr>
      <w:r>
        <w:rPr>
          <w:rFonts w:ascii="Arial" w:cs="Arial" w:eastAsia="Arial" w:hAnsi="Arial"/>
          <w:color w:val="4B5563"/>
          <w:sz w:val="20"/>
          <w:szCs w:val="20"/>
        </w:rPr>
        <w:t xml:space="preserve">• Biweekly (after 90 days): 45-minute review with portfolio dashboard</w:t>
      </w:r>
    </w:p>
    <w:p>
      <w:pPr>
        <w:spacing w:after="60"/>
        <w:ind w:left="360"/>
      </w:pPr>
      <w:r>
        <w:rPr>
          <w:rFonts w:ascii="Arial" w:cs="Arial" w:eastAsia="Arial" w:hAnsi="Arial"/>
          <w:color w:val="4B5563"/>
          <w:sz w:val="20"/>
          <w:szCs w:val="20"/>
        </w:rPr>
        <w:t xml:space="preserve">• Quarterly: Executive briefing with metrics, risk posture, and value realization report</w:t>
      </w:r>
    </w:p>
    <w:p>
      <w:pPr>
        <w:spacing w:after="60"/>
      </w:pPr>
    </w:p>
    <w:p>
      <w:pPr>
        <w:pStyle w:val="Heading2"/>
        <w:spacing w:before="260" w:after="140"/>
      </w:pPr>
      <w:r>
        <w:rPr>
          <w:rFonts w:ascii="Arial" w:cs="Arial" w:eastAsia="Arial" w:hAnsi="Arial"/>
          <w:b/>
          <w:bCs/>
          <w:color w:val="1F2937"/>
          <w:sz w:val="22"/>
          <w:szCs w:val="22"/>
        </w:rPr>
        <w:t xml:space="preserve">2.2 Governance Nodes (Business Unit Teams)</w:t>
      </w:r>
    </w:p>
    <w:p>
      <w:pPr>
        <w:spacing w:after="100"/>
      </w:pPr>
      <w:r>
        <w:rPr>
          <w:rFonts w:ascii="Arial" w:cs="Arial" w:eastAsia="Arial" w:hAnsi="Arial"/>
          <w:color w:val="4B5563"/>
          <w:sz w:val="20"/>
          <w:szCs w:val="20"/>
        </w:rPr>
        <w:t xml:space="preserve">Each business unit deploying AI should have a Governance Node — a team of four roles responsible for local governance. In smaller organizations, one person may hold multiple roles. The roles themselves must exist.</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Role</w:t>
            </w:r>
          </w:p>
        </w:tc>
        <w:tc>
          <w:tcPr>
            <w:tcW w:type="dxa" w:w="35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Primary Function</w:t>
            </w:r>
          </w:p>
        </w:tc>
        <w:tc>
          <w:tcPr>
            <w:tcW w:type="dxa" w:w="386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Key Activities</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left"/>
            </w:pPr>
            <w:r>
              <w:rPr>
                <w:rFonts w:ascii="Arial" w:cs="Arial" w:eastAsia="Arial" w:hAnsi="Arial"/>
                <w:b/>
                <w:bCs/>
                <w:i w:val="false"/>
                <w:iCs w:val="false"/>
                <w:color w:val="1F2937"/>
                <w:sz w:val="18"/>
                <w:szCs w:val="18"/>
              </w:rPr>
              <w:t xml:space="preserve">AI Lead</w:t>
            </w:r>
          </w:p>
        </w:tc>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18"/>
                <w:szCs w:val="18"/>
              </w:rPr>
              <w:t xml:space="preserve">Adoption coordination and local governance management</w:t>
            </w:r>
          </w:p>
        </w:tc>
        <w:tc>
          <w:tcPr>
            <w:tcW w:type="dxa" w:w="38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18"/>
                <w:szCs w:val="18"/>
              </w:rPr>
              <w:t xml:space="preserve">Surfaces opportunities (Gate 0). Champions approved projects. Manages AI inventory for the BU. Approves Express Lane systems.</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jc w:val="left"/>
            </w:pPr>
            <w:r>
              <w:rPr>
                <w:rFonts w:ascii="Arial" w:cs="Arial" w:eastAsia="Arial" w:hAnsi="Arial"/>
                <w:b/>
                <w:bCs/>
                <w:i w:val="false"/>
                <w:iCs w:val="false"/>
                <w:color w:val="1F2937"/>
                <w:sz w:val="18"/>
                <w:szCs w:val="18"/>
              </w:rPr>
              <w:t xml:space="preserve">Risk Liaison</w:t>
            </w:r>
          </w:p>
        </w:tc>
        <w:tc>
          <w:tcPr>
            <w:tcW w:type="dxa" w:w="35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18"/>
                <w:szCs w:val="18"/>
              </w:rPr>
              <w:t xml:space="preserve">Risk assessment and compliance monitoring</w:t>
            </w:r>
          </w:p>
        </w:tc>
        <w:tc>
          <w:tcPr>
            <w:tcW w:type="dxa" w:w="386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18"/>
                <w:szCs w:val="18"/>
              </w:rPr>
              <w:t xml:space="preserve">Completes risk questionnaires. Flags emerging risks between gates. First responder for incidents.</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left"/>
            </w:pPr>
            <w:r>
              <w:rPr>
                <w:rFonts w:ascii="Arial" w:cs="Arial" w:eastAsia="Arial" w:hAnsi="Arial"/>
                <w:b/>
                <w:bCs/>
                <w:i w:val="false"/>
                <w:iCs w:val="false"/>
                <w:color w:val="1F2937"/>
                <w:sz w:val="18"/>
                <w:szCs w:val="18"/>
              </w:rPr>
              <w:t xml:space="preserve">Data Steward</w:t>
            </w:r>
          </w:p>
        </w:tc>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18"/>
                <w:szCs w:val="18"/>
              </w:rPr>
              <w:t xml:space="preserve">Data quality and governance for AI inputs</w:t>
            </w:r>
          </w:p>
        </w:tc>
        <w:tc>
          <w:tcPr>
            <w:tcW w:type="dxa" w:w="38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18"/>
                <w:szCs w:val="18"/>
              </w:rPr>
              <w:t xml:space="preserve">Validates data readiness before Gate 1. Monitors data drift post-deployment. Manages data access governance.</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jc w:val="left"/>
            </w:pPr>
            <w:r>
              <w:rPr>
                <w:rFonts w:ascii="Arial" w:cs="Arial" w:eastAsia="Arial" w:hAnsi="Arial"/>
                <w:b/>
                <w:bCs/>
                <w:i w:val="false"/>
                <w:iCs w:val="false"/>
                <w:color w:val="1F2937"/>
                <w:sz w:val="18"/>
                <w:szCs w:val="18"/>
              </w:rPr>
              <w:t xml:space="preserve">Change Champion</w:t>
            </w:r>
          </w:p>
        </w:tc>
        <w:tc>
          <w:tcPr>
            <w:tcW w:type="dxa" w:w="35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18"/>
                <w:szCs w:val="18"/>
              </w:rPr>
              <w:t xml:space="preserve">Adoption support and workforce transition</w:t>
            </w:r>
          </w:p>
        </w:tc>
        <w:tc>
          <w:tcPr>
            <w:tcW w:type="dxa" w:w="386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18"/>
                <w:szCs w:val="18"/>
              </w:rPr>
              <w:t xml:space="preserve">Supports adoption. Surfaces workforce concerns. Facilitates training. Monitors adoption quality.</w:t>
            </w:r>
          </w:p>
        </w:tc>
      </w:tr>
    </w:tbl>
    <w:p>
      <w:pPr>
        <w:spacing w:after="60"/>
      </w:pPr>
    </w:p>
    <w:p>
      <w:pPr>
        <w:spacing w:before="180" w:after="100"/>
      </w:pPr>
      <w:r>
        <w:rPr>
          <w:rFonts w:ascii="Arial" w:cs="Arial" w:eastAsia="Arial" w:hAnsi="Arial"/>
          <w:b/>
          <w:bCs/>
          <w:color w:val="2563EB"/>
          <w:sz w:val="20"/>
          <w:szCs w:val="20"/>
        </w:rPr>
        <w:t xml:space="preserve">Node Operating Rhythms</w:t>
      </w:r>
    </w:p>
    <w:p>
      <w:pPr>
        <w:spacing w:after="60"/>
        <w:ind w:left="360"/>
      </w:pPr>
      <w:r>
        <w:rPr>
          <w:rFonts w:ascii="Arial" w:cs="Arial" w:eastAsia="Arial" w:hAnsi="Arial"/>
          <w:color w:val="4B5563"/>
          <w:sz w:val="20"/>
          <w:szCs w:val="20"/>
        </w:rPr>
        <w:t xml:space="preserve">• Weekly 15-minute standup: All four roles sync on active projects, upcoming gates, and emerging issues</w:t>
      </w:r>
    </w:p>
    <w:p>
      <w:pPr>
        <w:spacing w:after="60"/>
        <w:ind w:left="360"/>
      </w:pPr>
      <w:r>
        <w:rPr>
          <w:rFonts w:ascii="Arial" w:cs="Arial" w:eastAsia="Arial" w:hAnsi="Arial"/>
          <w:color w:val="4B5563"/>
          <w:sz w:val="20"/>
          <w:szCs w:val="20"/>
        </w:rPr>
        <w:t xml:space="preserve">• Monthly hub sync: Each role meets with their Governance Core counterpart (e.g., all Risk Liaisons meet with the Risk/Compliance representative)</w:t>
      </w:r>
    </w:p>
    <w:p>
      <w:pPr>
        <w:spacing w:after="60"/>
        <w:ind w:left="360"/>
      </w:pPr>
      <w:r>
        <w:rPr>
          <w:rFonts w:ascii="Arial" w:cs="Arial" w:eastAsia="Arial" w:hAnsi="Arial"/>
          <w:color w:val="4B5563"/>
          <w:sz w:val="20"/>
          <w:szCs w:val="20"/>
        </w:rPr>
        <w:t xml:space="preserve">• Quarterly cross-node summit: All node members across BUs convene for knowledge sharing and framework improvement</w:t>
      </w:r>
    </w:p>
    <w:p>
      <w:r>
        <w:br w:type="page"/>
      </w:r>
    </w:p>
    <w:p>
      <w:pPr>
        <w:pStyle w:val="Heading1"/>
        <w:spacing w:before="360" w:after="180"/>
      </w:pPr>
      <w:r>
        <w:rPr>
          <w:rFonts w:ascii="Arial" w:cs="Arial" w:eastAsia="Arial" w:hAnsi="Arial"/>
          <w:b/>
          <w:bCs/>
          <w:color w:val="1F2937"/>
          <w:sz w:val="28"/>
          <w:szCs w:val="28"/>
        </w:rPr>
        <w:t xml:space="preserve">3. Lifecycle Management: The Four-Gate System</w:t>
      </w:r>
    </w:p>
    <w:p>
      <w:pPr>
        <w:spacing w:after="100"/>
      </w:pPr>
      <w:r>
        <w:rPr>
          <w:rFonts w:ascii="Arial" w:cs="Arial" w:eastAsia="Arial" w:hAnsi="Arial"/>
          <w:color w:val="4B5563"/>
          <w:sz w:val="20"/>
          <w:szCs w:val="20"/>
        </w:rPr>
        <w:t xml:space="preserve">Every AI system passes through a series of gates from intake to retirement. The number and rigor of gates depends on the governance lane.</w:t>
      </w:r>
    </w:p>
    <w:p>
      <w:pPr>
        <w:spacing w:after="60"/>
      </w:pPr>
    </w:p>
    <w:p>
      <w:pPr>
        <w:pStyle w:val="Heading2"/>
        <w:spacing w:before="260" w:after="140"/>
      </w:pPr>
      <w:r>
        <w:rPr>
          <w:rFonts w:ascii="Arial" w:cs="Arial" w:eastAsia="Arial" w:hAnsi="Arial"/>
          <w:b/>
          <w:bCs/>
          <w:color w:val="1F2937"/>
          <w:sz w:val="22"/>
          <w:szCs w:val="22"/>
        </w:rPr>
        <w:t xml:space="preserve">3.1 Gate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3000"/>
        <w:gridCol w:w="1200"/>
        <w:gridCol w:w="1400"/>
        <w:gridCol w:w="1460"/>
      </w:tblGrid>
      <w:tr>
        <w:tc>
          <w:tcPr>
            <w:tcW w:type="dxa" w:w="9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Gate</w:t>
            </w:r>
          </w:p>
        </w:tc>
        <w:tc>
          <w:tcPr>
            <w:tcW w:type="dxa" w:w="14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Name</w:t>
            </w:r>
          </w:p>
        </w:tc>
        <w:tc>
          <w:tcPr>
            <w:tcW w:type="dxa" w:w="30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Key Question</w:t>
            </w:r>
          </w:p>
        </w:tc>
        <w:tc>
          <w:tcPr>
            <w:tcW w:type="dxa" w:w="12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Express</w:t>
            </w:r>
          </w:p>
        </w:tc>
        <w:tc>
          <w:tcPr>
            <w:tcW w:type="dxa" w:w="14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Standard</w:t>
            </w:r>
          </w:p>
        </w:tc>
        <w:tc>
          <w:tcPr>
            <w:tcW w:type="dxa" w:w="146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Strategic</w:t>
            </w:r>
          </w:p>
        </w:tc>
      </w:tr>
      <w:tr>
        <w:tc>
          <w:tcPr>
            <w:tcW w:type="dxa" w:w="9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center"/>
            </w:pPr>
            <w:r>
              <w:rPr>
                <w:rFonts w:ascii="Arial" w:cs="Arial" w:eastAsia="Arial" w:hAnsi="Arial"/>
                <w:b/>
                <w:bCs/>
                <w:i w:val="false"/>
                <w:iCs w:val="false"/>
                <w:color w:val="1F2937"/>
                <w:sz w:val="18"/>
                <w:szCs w:val="18"/>
              </w:rPr>
              <w:t xml:space="preserve">0</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left"/>
            </w:pPr>
            <w:r>
              <w:rPr>
                <w:rFonts w:ascii="Arial" w:cs="Arial" w:eastAsia="Arial" w:hAnsi="Arial"/>
                <w:b/>
                <w:bCs/>
                <w:i w:val="false"/>
                <w:iCs w:val="false"/>
                <w:color w:val="1F2937"/>
                <w:sz w:val="18"/>
                <w:szCs w:val="18"/>
              </w:rPr>
              <w:t xml:space="preserve">Discover</w:t>
            </w:r>
          </w:p>
        </w:tc>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18"/>
                <w:szCs w:val="18"/>
              </w:rPr>
              <w:t xml:space="preserve">Should we explore this?</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F2937"/>
                <w:sz w:val="18"/>
                <w:szCs w:val="18"/>
              </w:rPr>
              <w:t xml:space="preserve">✓</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F2937"/>
                <w:sz w:val="18"/>
                <w:szCs w:val="18"/>
              </w:rPr>
              <w:t xml:space="preserve">✓</w:t>
            </w:r>
          </w:p>
        </w:tc>
        <w:tc>
          <w:tcPr>
            <w:tcW w:type="dxa" w:w="14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F2937"/>
                <w:sz w:val="18"/>
                <w:szCs w:val="18"/>
              </w:rPr>
              <w:t xml:space="preserve">✓</w:t>
            </w:r>
          </w:p>
        </w:tc>
      </w:tr>
      <w:tr>
        <w:tc>
          <w:tcPr>
            <w:tcW w:type="dxa" w:w="9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jc w:val="center"/>
            </w:pPr>
            <w:r>
              <w:rPr>
                <w:rFonts w:ascii="Arial" w:cs="Arial" w:eastAsia="Arial" w:hAnsi="Arial"/>
                <w:b/>
                <w:bCs/>
                <w:i w:val="false"/>
                <w:iCs w:val="false"/>
                <w:color w:val="1F2937"/>
                <w:sz w:val="18"/>
                <w:szCs w:val="18"/>
              </w:rPr>
              <w:t xml:space="preserve">1</w:t>
            </w:r>
          </w:p>
        </w:tc>
        <w:tc>
          <w:tcPr>
            <w:tcW w:type="dxa" w:w="14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jc w:val="left"/>
            </w:pPr>
            <w:r>
              <w:rPr>
                <w:rFonts w:ascii="Arial" w:cs="Arial" w:eastAsia="Arial" w:hAnsi="Arial"/>
                <w:b/>
                <w:bCs/>
                <w:i w:val="false"/>
                <w:iCs w:val="false"/>
                <w:color w:val="1F2937"/>
                <w:sz w:val="18"/>
                <w:szCs w:val="18"/>
              </w:rPr>
              <w:t xml:space="preserve">Map</w:t>
            </w:r>
          </w:p>
        </w:tc>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18"/>
                <w:szCs w:val="18"/>
              </w:rPr>
              <w:t xml:space="preserve">Should we build this?</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F2937"/>
                <w:sz w:val="18"/>
                <w:szCs w:val="18"/>
              </w:rPr>
              <w:t xml:space="preserve">— (skip)</w:t>
            </w:r>
          </w:p>
        </w:tc>
        <w:tc>
          <w:tcPr>
            <w:tcW w:type="dxa" w:w="14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F2937"/>
                <w:sz w:val="18"/>
                <w:szCs w:val="18"/>
              </w:rPr>
              <w:t xml:space="preserve">✓</w:t>
            </w:r>
          </w:p>
        </w:tc>
        <w:tc>
          <w:tcPr>
            <w:tcW w:type="dxa" w:w="146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F2937"/>
                <w:sz w:val="18"/>
                <w:szCs w:val="18"/>
              </w:rPr>
              <w:t xml:space="preserve">✓</w:t>
            </w:r>
          </w:p>
        </w:tc>
      </w:tr>
      <w:tr>
        <w:tc>
          <w:tcPr>
            <w:tcW w:type="dxa" w:w="9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center"/>
            </w:pPr>
            <w:r>
              <w:rPr>
                <w:rFonts w:ascii="Arial" w:cs="Arial" w:eastAsia="Arial" w:hAnsi="Arial"/>
                <w:b/>
                <w:bCs/>
                <w:i w:val="false"/>
                <w:iCs w:val="false"/>
                <w:color w:val="1F2937"/>
                <w:sz w:val="18"/>
                <w:szCs w:val="18"/>
              </w:rPr>
              <w:t xml:space="preserve">1.5</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left"/>
            </w:pPr>
            <w:r>
              <w:rPr>
                <w:rFonts w:ascii="Arial" w:cs="Arial" w:eastAsia="Arial" w:hAnsi="Arial"/>
                <w:b/>
                <w:bCs/>
                <w:i w:val="false"/>
                <w:iCs w:val="false"/>
                <w:color w:val="1F2937"/>
                <w:sz w:val="18"/>
                <w:szCs w:val="18"/>
              </w:rPr>
              <w:t xml:space="preserve">Validate</w:t>
            </w:r>
          </w:p>
        </w:tc>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18"/>
                <w:szCs w:val="18"/>
              </w:rPr>
              <w:t xml:space="preserve">Is this safe to build?</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F2937"/>
                <w:sz w:val="18"/>
                <w:szCs w:val="18"/>
              </w:rPr>
              <w:t xml:space="preserve">—</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F2937"/>
                <w:sz w:val="18"/>
                <w:szCs w:val="18"/>
              </w:rPr>
              <w:t xml:space="preserve">—</w:t>
            </w:r>
          </w:p>
        </w:tc>
        <w:tc>
          <w:tcPr>
            <w:tcW w:type="dxa" w:w="14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F2937"/>
                <w:sz w:val="18"/>
                <w:szCs w:val="18"/>
              </w:rPr>
              <w:t xml:space="preserve">✓ (Strategic only)</w:t>
            </w:r>
          </w:p>
        </w:tc>
      </w:tr>
      <w:tr>
        <w:tc>
          <w:tcPr>
            <w:tcW w:type="dxa" w:w="9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jc w:val="center"/>
            </w:pPr>
            <w:r>
              <w:rPr>
                <w:rFonts w:ascii="Arial" w:cs="Arial" w:eastAsia="Arial" w:hAnsi="Arial"/>
                <w:b/>
                <w:bCs/>
                <w:i w:val="false"/>
                <w:iCs w:val="false"/>
                <w:color w:val="1F2937"/>
                <w:sz w:val="18"/>
                <w:szCs w:val="18"/>
              </w:rPr>
              <w:t xml:space="preserve">2</w:t>
            </w:r>
          </w:p>
        </w:tc>
        <w:tc>
          <w:tcPr>
            <w:tcW w:type="dxa" w:w="14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jc w:val="left"/>
            </w:pPr>
            <w:r>
              <w:rPr>
                <w:rFonts w:ascii="Arial" w:cs="Arial" w:eastAsia="Arial" w:hAnsi="Arial"/>
                <w:b/>
                <w:bCs/>
                <w:i w:val="false"/>
                <w:iCs w:val="false"/>
                <w:color w:val="1F2937"/>
                <w:sz w:val="18"/>
                <w:szCs w:val="18"/>
              </w:rPr>
              <w:t xml:space="preserve">Deploy</w:t>
            </w:r>
          </w:p>
        </w:tc>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18"/>
                <w:szCs w:val="18"/>
              </w:rPr>
              <w:t xml:space="preserve">Is this ready for production?</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F2937"/>
                <w:sz w:val="18"/>
                <w:szCs w:val="18"/>
              </w:rPr>
              <w:t xml:space="preserve">✓</w:t>
            </w:r>
          </w:p>
        </w:tc>
        <w:tc>
          <w:tcPr>
            <w:tcW w:type="dxa" w:w="14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F2937"/>
                <w:sz w:val="18"/>
                <w:szCs w:val="18"/>
              </w:rPr>
              <w:t xml:space="preserve">✓</w:t>
            </w:r>
          </w:p>
        </w:tc>
        <w:tc>
          <w:tcPr>
            <w:tcW w:type="dxa" w:w="146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F2937"/>
                <w:sz w:val="18"/>
                <w:szCs w:val="18"/>
              </w:rPr>
              <w:t xml:space="preserve">✓</w:t>
            </w:r>
          </w:p>
        </w:tc>
      </w:tr>
      <w:tr>
        <w:tc>
          <w:tcPr>
            <w:tcW w:type="dxa" w:w="9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center"/>
            </w:pPr>
            <w:r>
              <w:rPr>
                <w:rFonts w:ascii="Arial" w:cs="Arial" w:eastAsia="Arial" w:hAnsi="Arial"/>
                <w:b/>
                <w:bCs/>
                <w:i w:val="false"/>
                <w:iCs w:val="false"/>
                <w:color w:val="1F2937"/>
                <w:sz w:val="18"/>
                <w:szCs w:val="18"/>
              </w:rPr>
              <w:t xml:space="preserve">3</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left"/>
            </w:pPr>
            <w:r>
              <w:rPr>
                <w:rFonts w:ascii="Arial" w:cs="Arial" w:eastAsia="Arial" w:hAnsi="Arial"/>
                <w:b/>
                <w:bCs/>
                <w:i w:val="false"/>
                <w:iCs w:val="false"/>
                <w:color w:val="1F2937"/>
                <w:sz w:val="18"/>
                <w:szCs w:val="18"/>
              </w:rPr>
              <w:t xml:space="preserve">Sustain</w:t>
            </w:r>
          </w:p>
        </w:tc>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18"/>
                <w:szCs w:val="18"/>
              </w:rPr>
              <w:t xml:space="preserve">Is this still delivering value?</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F2937"/>
                <w:sz w:val="18"/>
                <w:szCs w:val="18"/>
              </w:rPr>
              <w:t xml:space="preserve">—</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F2937"/>
                <w:sz w:val="18"/>
                <w:szCs w:val="18"/>
              </w:rPr>
              <w:t xml:space="preserve">✓</w:t>
            </w:r>
          </w:p>
        </w:tc>
        <w:tc>
          <w:tcPr>
            <w:tcW w:type="dxa" w:w="14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F2937"/>
                <w:sz w:val="18"/>
                <w:szCs w:val="18"/>
              </w:rPr>
              <w:t xml:space="preserve">✓</w:t>
            </w:r>
          </w:p>
        </w:tc>
      </w:tr>
    </w:tbl>
    <w:p>
      <w:pPr>
        <w:spacing w:after="80"/>
      </w:pPr>
    </w:p>
    <w:p>
      <w:pPr>
        <w:pStyle w:val="Heading2"/>
        <w:spacing w:before="260" w:after="140"/>
      </w:pPr>
      <w:r>
        <w:rPr>
          <w:rFonts w:ascii="Arial" w:cs="Arial" w:eastAsia="Arial" w:hAnsi="Arial"/>
          <w:b/>
          <w:bCs/>
          <w:color w:val="1F2937"/>
          <w:sz w:val="22"/>
          <w:szCs w:val="22"/>
        </w:rPr>
        <w:t xml:space="preserve">3.2 Gate Details</w:t>
      </w:r>
    </w:p>
    <w:p>
      <w:pPr>
        <w:spacing w:after="40"/>
      </w:pPr>
    </w:p>
    <w:p>
      <w:pPr>
        <w:spacing w:before="180" w:after="100"/>
      </w:pPr>
      <w:r>
        <w:rPr>
          <w:rFonts w:ascii="Arial" w:cs="Arial" w:eastAsia="Arial" w:hAnsi="Arial"/>
          <w:b/>
          <w:bCs/>
          <w:color w:val="2563EB"/>
          <w:sz w:val="20"/>
          <w:szCs w:val="20"/>
        </w:rPr>
        <w:t xml:space="preserve">Gate 0: Discover</w:t>
      </w:r>
    </w:p>
    <w:p>
      <w:pPr>
        <w:spacing w:after="100"/>
      </w:pPr>
      <w:r>
        <w:rPr>
          <w:rFonts w:ascii="Arial" w:cs="Arial" w:eastAsia="Arial" w:hAnsi="Arial"/>
          <w:color w:val="4B5563"/>
          <w:sz w:val="20"/>
          <w:szCs w:val="20"/>
        </w:rPr>
        <w:t xml:space="preserve">Purpose: Capture and register new AI initiatives before they enter the formal lifecycle. This is where shadow AI becomes governed AI.</w:t>
      </w:r>
    </w:p>
    <w:p>
      <w:pPr>
        <w:spacing w:after="60"/>
        <w:ind w:left="360"/>
      </w:pPr>
      <w:r>
        <w:rPr>
          <w:rFonts w:ascii="Arial" w:cs="Arial" w:eastAsia="Arial" w:hAnsi="Arial"/>
          <w:color w:val="4B5563"/>
          <w:sz w:val="20"/>
          <w:szCs w:val="20"/>
        </w:rPr>
        <w:t xml:space="preserve">• Register the AI system in the inventory (system name, purpose, BU, proposed owner)</w:t>
      </w:r>
    </w:p>
    <w:p>
      <w:pPr>
        <w:spacing w:after="60"/>
        <w:ind w:left="360"/>
      </w:pPr>
      <w:r>
        <w:rPr>
          <w:rFonts w:ascii="Arial" w:cs="Arial" w:eastAsia="Arial" w:hAnsi="Arial"/>
          <w:color w:val="4B5563"/>
          <w:sz w:val="20"/>
          <w:szCs w:val="20"/>
        </w:rPr>
        <w:t xml:space="preserve">• Complete the Risk Assessment Questionnaire</w:t>
      </w:r>
    </w:p>
    <w:p>
      <w:pPr>
        <w:spacing w:after="60"/>
        <w:ind w:left="360"/>
      </w:pPr>
      <w:r>
        <w:rPr>
          <w:rFonts w:ascii="Arial" w:cs="Arial" w:eastAsia="Arial" w:hAnsi="Arial"/>
          <w:color w:val="4B5563"/>
          <w:sz w:val="20"/>
          <w:szCs w:val="20"/>
        </w:rPr>
        <w:t xml:space="preserve">• Score and classify: Low / Medium / High risk</w:t>
      </w:r>
    </w:p>
    <w:p>
      <w:pPr>
        <w:spacing w:after="60"/>
        <w:ind w:left="360"/>
      </w:pPr>
      <w:r>
        <w:rPr>
          <w:rFonts w:ascii="Arial" w:cs="Arial" w:eastAsia="Arial" w:hAnsi="Arial"/>
          <w:color w:val="4B5563"/>
          <w:sz w:val="20"/>
          <w:szCs w:val="20"/>
        </w:rPr>
        <w:t xml:space="preserve">• Route to the appropriate governance lane</w:t>
      </w:r>
    </w:p>
    <w:p>
      <w:pPr>
        <w:spacing w:after="60"/>
        <w:ind w:left="360"/>
      </w:pPr>
      <w:r>
        <w:rPr>
          <w:rFonts w:ascii="Arial" w:cs="Arial" w:eastAsia="Arial" w:hAnsi="Arial"/>
          <w:color w:val="4B5563"/>
          <w:sz w:val="20"/>
          <w:szCs w:val="20"/>
        </w:rPr>
        <w:t xml:space="preserve">• Decision: Proceed to next gate, park in backlog, or reject with documented rationale</w:t>
      </w:r>
    </w:p>
    <w:p>
      <w:pPr>
        <w:spacing w:after="40"/>
      </w:pPr>
    </w:p>
    <w:p>
      <w:pPr>
        <w:spacing w:before="180" w:after="100"/>
      </w:pPr>
      <w:r>
        <w:rPr>
          <w:rFonts w:ascii="Arial" w:cs="Arial" w:eastAsia="Arial" w:hAnsi="Arial"/>
          <w:b/>
          <w:bCs/>
          <w:color w:val="2563EB"/>
          <w:sz w:val="20"/>
          <w:szCs w:val="20"/>
        </w:rPr>
        <w:t xml:space="preserve">Gate 1: Map</w:t>
      </w:r>
    </w:p>
    <w:p>
      <w:pPr>
        <w:spacing w:after="100"/>
      </w:pPr>
      <w:r>
        <w:rPr>
          <w:rFonts w:ascii="Arial" w:cs="Arial" w:eastAsia="Arial" w:hAnsi="Arial"/>
          <w:color w:val="4B5563"/>
          <w:sz w:val="20"/>
          <w:szCs w:val="20"/>
        </w:rPr>
        <w:t xml:space="preserve">Purpose: Document the initiative’s scope, stakeholders, data requirements, and risk factors before significant resources are invested.</w:t>
      </w:r>
    </w:p>
    <w:p>
      <w:pPr>
        <w:spacing w:after="60"/>
        <w:ind w:left="360"/>
      </w:pPr>
      <w:r>
        <w:rPr>
          <w:rFonts w:ascii="Arial" w:cs="Arial" w:eastAsia="Arial" w:hAnsi="Arial"/>
          <w:color w:val="4B5563"/>
          <w:sz w:val="20"/>
          <w:szCs w:val="20"/>
        </w:rPr>
        <w:t xml:space="preserve">• Create the initial model card (purpose, intended use, data sources, known limitations)</w:t>
      </w:r>
    </w:p>
    <w:p>
      <w:pPr>
        <w:spacing w:after="60"/>
        <w:ind w:left="360"/>
      </w:pPr>
      <w:r>
        <w:rPr>
          <w:rFonts w:ascii="Arial" w:cs="Arial" w:eastAsia="Arial" w:hAnsi="Arial"/>
          <w:color w:val="4B5563"/>
          <w:sz w:val="20"/>
          <w:szCs w:val="20"/>
        </w:rPr>
        <w:t xml:space="preserve">• Document the value hypothesis: what business outcome will this deliver, and how will it be measured?</w:t>
      </w:r>
    </w:p>
    <w:p>
      <w:pPr>
        <w:spacing w:after="60"/>
        <w:ind w:left="360"/>
      </w:pPr>
      <w:r>
        <w:rPr>
          <w:rFonts w:ascii="Arial" w:cs="Arial" w:eastAsia="Arial" w:hAnsi="Arial"/>
          <w:color w:val="4B5563"/>
          <w:sz w:val="20"/>
          <w:szCs w:val="20"/>
        </w:rPr>
        <w:t xml:space="preserve">• Review data readiness: is the required data available, accessible, and governed?</w:t>
      </w:r>
    </w:p>
    <w:p>
      <w:pPr>
        <w:spacing w:after="60"/>
        <w:ind w:left="360"/>
      </w:pPr>
      <w:r>
        <w:rPr>
          <w:rFonts w:ascii="Arial" w:cs="Arial" w:eastAsia="Arial" w:hAnsi="Arial"/>
          <w:color w:val="4B5563"/>
          <w:sz w:val="20"/>
          <w:szCs w:val="20"/>
        </w:rPr>
        <w:t xml:space="preserve">• Review by Governance Node (Standard) or Governance Core (Strategic)</w:t>
      </w:r>
    </w:p>
    <w:p>
      <w:pPr>
        <w:spacing w:after="60"/>
        <w:ind w:left="360"/>
      </w:pPr>
      <w:r>
        <w:rPr>
          <w:rFonts w:ascii="Arial" w:cs="Arial" w:eastAsia="Arial" w:hAnsi="Arial"/>
          <w:color w:val="4B5563"/>
          <w:sz w:val="20"/>
          <w:szCs w:val="20"/>
        </w:rPr>
        <w:t xml:space="preserve">• Decision: Conditional go/no-go. Conditions documented.</w:t>
      </w:r>
    </w:p>
    <w:p>
      <w:pPr>
        <w:spacing w:after="40"/>
      </w:pPr>
    </w:p>
    <w:p>
      <w:pPr>
        <w:spacing w:before="180" w:after="100"/>
      </w:pPr>
      <w:r>
        <w:rPr>
          <w:rFonts w:ascii="Arial" w:cs="Arial" w:eastAsia="Arial" w:hAnsi="Arial"/>
          <w:b/>
          <w:bCs/>
          <w:color w:val="2563EB"/>
          <w:sz w:val="20"/>
          <w:szCs w:val="20"/>
        </w:rPr>
        <w:t xml:space="preserve">Gate 1.5: Validate (Strategic Lane Only)</w:t>
      </w:r>
    </w:p>
    <w:p>
      <w:pPr>
        <w:spacing w:after="100"/>
      </w:pPr>
      <w:r>
        <w:rPr>
          <w:rFonts w:ascii="Arial" w:cs="Arial" w:eastAsia="Arial" w:hAnsi="Arial"/>
          <w:color w:val="4B5563"/>
          <w:sz w:val="20"/>
          <w:szCs w:val="20"/>
        </w:rPr>
        <w:t xml:space="preserve">Purpose: Independent challenge review for high-risk systems before development proceeds.</w:t>
      </w:r>
    </w:p>
    <w:p>
      <w:pPr>
        <w:spacing w:after="60"/>
        <w:ind w:left="360"/>
      </w:pPr>
      <w:r>
        <w:rPr>
          <w:rFonts w:ascii="Arial" w:cs="Arial" w:eastAsia="Arial" w:hAnsi="Arial"/>
          <w:color w:val="4B5563"/>
          <w:sz w:val="20"/>
          <w:szCs w:val="20"/>
        </w:rPr>
        <w:t xml:space="preserve">• Independent challenge report from a reviewer outside the project team</w:t>
      </w:r>
    </w:p>
    <w:p>
      <w:pPr>
        <w:spacing w:after="60"/>
        <w:ind w:left="360"/>
      </w:pPr>
      <w:r>
        <w:rPr>
          <w:rFonts w:ascii="Arial" w:cs="Arial" w:eastAsia="Arial" w:hAnsi="Arial"/>
          <w:color w:val="4B5563"/>
          <w:sz w:val="20"/>
          <w:szCs w:val="20"/>
        </w:rPr>
        <w:t xml:space="preserve">• Stakeholder impact assessment: who is affected, how, and what recourse exists</w:t>
      </w:r>
    </w:p>
    <w:p>
      <w:pPr>
        <w:spacing w:after="60"/>
        <w:ind w:left="360"/>
      </w:pPr>
      <w:r>
        <w:rPr>
          <w:rFonts w:ascii="Arial" w:cs="Arial" w:eastAsia="Arial" w:hAnsi="Arial"/>
          <w:color w:val="4B5563"/>
          <w:sz w:val="20"/>
          <w:szCs w:val="20"/>
        </w:rPr>
        <w:t xml:space="preserve">• Regulatory compliance assessment: which regulations apply, what documentation is required</w:t>
      </w:r>
    </w:p>
    <w:p>
      <w:pPr>
        <w:spacing w:after="60"/>
        <w:ind w:left="360"/>
      </w:pPr>
      <w:r>
        <w:rPr>
          <w:rFonts w:ascii="Arial" w:cs="Arial" w:eastAsia="Arial" w:hAnsi="Arial"/>
          <w:color w:val="4B5563"/>
          <w:sz w:val="20"/>
          <w:szCs w:val="20"/>
        </w:rPr>
        <w:t xml:space="preserve">• Human oversight stress-test: what happens when oversight mechanisms fail</w:t>
      </w:r>
    </w:p>
    <w:p>
      <w:pPr>
        <w:spacing w:after="60"/>
        <w:ind w:left="360"/>
      </w:pPr>
      <w:r>
        <w:rPr>
          <w:rFonts w:ascii="Arial" w:cs="Arial" w:eastAsia="Arial" w:hAnsi="Arial"/>
          <w:color w:val="4B5563"/>
          <w:sz w:val="20"/>
          <w:szCs w:val="20"/>
        </w:rPr>
        <w:t xml:space="preserve">• Bias testing plan: formal protocol with defined metrics, thresholds, and remediation procedures</w:t>
      </w:r>
    </w:p>
    <w:p>
      <w:pPr>
        <w:spacing w:after="60"/>
        <w:ind w:left="360"/>
      </w:pPr>
      <w:r>
        <w:rPr>
          <w:rFonts w:ascii="Arial" w:cs="Arial" w:eastAsia="Arial" w:hAnsi="Arial"/>
          <w:color w:val="4B5563"/>
          <w:sz w:val="20"/>
          <w:szCs w:val="20"/>
        </w:rPr>
        <w:t xml:space="preserve">• Decision: Proceed to development, revise scope, or halt with documented rationale</w:t>
      </w:r>
    </w:p>
    <w:p>
      <w:pPr>
        <w:spacing w:after="40"/>
      </w:pPr>
    </w:p>
    <w:p>
      <w:pPr>
        <w:spacing w:before="180" w:after="100"/>
      </w:pPr>
      <w:r>
        <w:rPr>
          <w:rFonts w:ascii="Arial" w:cs="Arial" w:eastAsia="Arial" w:hAnsi="Arial"/>
          <w:b/>
          <w:bCs/>
          <w:color w:val="2563EB"/>
          <w:sz w:val="20"/>
          <w:szCs w:val="20"/>
        </w:rPr>
        <w:t xml:space="preserve">Gate 2: Deploy</w:t>
      </w:r>
    </w:p>
    <w:p>
      <w:pPr>
        <w:spacing w:after="100"/>
      </w:pPr>
      <w:r>
        <w:rPr>
          <w:rFonts w:ascii="Arial" w:cs="Arial" w:eastAsia="Arial" w:hAnsi="Arial"/>
          <w:color w:val="4B5563"/>
          <w:sz w:val="20"/>
          <w:szCs w:val="20"/>
        </w:rPr>
        <w:t xml:space="preserve">Purpose: Verify the system is ready for production — technically, ethically, and operationally.</w:t>
      </w:r>
    </w:p>
    <w:p>
      <w:pPr>
        <w:spacing w:after="60"/>
        <w:ind w:left="360"/>
      </w:pPr>
      <w:r>
        <w:rPr>
          <w:rFonts w:ascii="Arial" w:cs="Arial" w:eastAsia="Arial" w:hAnsi="Arial"/>
          <w:color w:val="4B5563"/>
          <w:sz w:val="20"/>
          <w:szCs w:val="20"/>
        </w:rPr>
        <w:t xml:space="preserve">• Technical review: system meets minimum standards for the risk tier</w:t>
      </w:r>
    </w:p>
    <w:p>
      <w:pPr>
        <w:spacing w:after="60"/>
        <w:ind w:left="360"/>
      </w:pPr>
      <w:r>
        <w:rPr>
          <w:rFonts w:ascii="Arial" w:cs="Arial" w:eastAsia="Arial" w:hAnsi="Arial"/>
          <w:color w:val="4B5563"/>
          <w:sz w:val="20"/>
          <w:szCs w:val="20"/>
        </w:rPr>
        <w:t xml:space="preserve">• Bias testing completed and documented (Standard and Strategic lanes)</w:t>
      </w:r>
    </w:p>
    <w:p>
      <w:pPr>
        <w:spacing w:after="60"/>
        <w:ind w:left="360"/>
      </w:pPr>
      <w:r>
        <w:rPr>
          <w:rFonts w:ascii="Arial" w:cs="Arial" w:eastAsia="Arial" w:hAnsi="Arial"/>
          <w:color w:val="4B5563"/>
          <w:sz w:val="20"/>
          <w:szCs w:val="20"/>
        </w:rPr>
        <w:t xml:space="preserve">• Model card finalized with all required fields for the risk tier</w:t>
      </w:r>
    </w:p>
    <w:p>
      <w:pPr>
        <w:spacing w:after="60"/>
        <w:ind w:left="360"/>
      </w:pPr>
      <w:r>
        <w:rPr>
          <w:rFonts w:ascii="Arial" w:cs="Arial" w:eastAsia="Arial" w:hAnsi="Arial"/>
          <w:color w:val="4B5563"/>
          <w:sz w:val="20"/>
          <w:szCs w:val="20"/>
        </w:rPr>
        <w:t xml:space="preserve">• Monitoring instrumentation confirmed and operational</w:t>
      </w:r>
    </w:p>
    <w:p>
      <w:pPr>
        <w:spacing w:after="60"/>
        <w:ind w:left="360"/>
      </w:pPr>
      <w:r>
        <w:rPr>
          <w:rFonts w:ascii="Arial" w:cs="Arial" w:eastAsia="Arial" w:hAnsi="Arial"/>
          <w:color w:val="4B5563"/>
          <w:sz w:val="20"/>
          <w:szCs w:val="20"/>
        </w:rPr>
        <w:t xml:space="preserve">• Rollback protocol documented: how to revert if issues emerge post-deployment</w:t>
      </w:r>
    </w:p>
    <w:p>
      <w:pPr>
        <w:spacing w:after="60"/>
        <w:ind w:left="360"/>
      </w:pPr>
      <w:r>
        <w:rPr>
          <w:rFonts w:ascii="Arial" w:cs="Arial" w:eastAsia="Arial" w:hAnsi="Arial"/>
          <w:color w:val="4B5563"/>
          <w:sz w:val="20"/>
          <w:szCs w:val="20"/>
        </w:rPr>
        <w:t xml:space="preserve">• Approval: AI Lead (Express), Node consensus (Standard), Executive Sponsor (Strategic)</w:t>
      </w:r>
    </w:p>
    <w:p>
      <w:pPr>
        <w:spacing w:after="40"/>
      </w:pPr>
    </w:p>
    <w:p>
      <w:pPr>
        <w:spacing w:before="180" w:after="100"/>
      </w:pPr>
      <w:r>
        <w:rPr>
          <w:rFonts w:ascii="Arial" w:cs="Arial" w:eastAsia="Arial" w:hAnsi="Arial"/>
          <w:b/>
          <w:bCs/>
          <w:color w:val="2563EB"/>
          <w:sz w:val="20"/>
          <w:szCs w:val="20"/>
        </w:rPr>
        <w:t xml:space="preserve">Gate 3: Sustain</w:t>
      </w:r>
    </w:p>
    <w:p>
      <w:pPr>
        <w:spacing w:after="100"/>
      </w:pPr>
      <w:r>
        <w:rPr>
          <w:rFonts w:ascii="Arial" w:cs="Arial" w:eastAsia="Arial" w:hAnsi="Arial"/>
          <w:color w:val="4B5563"/>
          <w:sz w:val="20"/>
          <w:szCs w:val="20"/>
        </w:rPr>
        <w:t xml:space="preserve">Purpose: Post-deployment review to confirm the system is still delivering value and operating within bounds.</w:t>
      </w:r>
    </w:p>
    <w:p>
      <w:pPr>
        <w:spacing w:after="60"/>
        <w:ind w:left="360"/>
      </w:pPr>
      <w:r>
        <w:rPr>
          <w:rFonts w:ascii="Arial" w:cs="Arial" w:eastAsia="Arial" w:hAnsi="Arial"/>
          <w:color w:val="4B5563"/>
          <w:sz w:val="20"/>
          <w:szCs w:val="20"/>
        </w:rPr>
        <w:t xml:space="preserve">• Performance against the value hypothesis established at Gate 1</w:t>
      </w:r>
    </w:p>
    <w:p>
      <w:pPr>
        <w:spacing w:after="60"/>
        <w:ind w:left="360"/>
      </w:pPr>
      <w:r>
        <w:rPr>
          <w:rFonts w:ascii="Arial" w:cs="Arial" w:eastAsia="Arial" w:hAnsi="Arial"/>
          <w:color w:val="4B5563"/>
          <w:sz w:val="20"/>
          <w:szCs w:val="20"/>
        </w:rPr>
        <w:t xml:space="preserve">• Model drift detection results</w:t>
      </w:r>
    </w:p>
    <w:p>
      <w:pPr>
        <w:spacing w:after="60"/>
        <w:ind w:left="360"/>
      </w:pPr>
      <w:r>
        <w:rPr>
          <w:rFonts w:ascii="Arial" w:cs="Arial" w:eastAsia="Arial" w:hAnsi="Arial"/>
          <w:color w:val="4B5563"/>
          <w:sz w:val="20"/>
          <w:szCs w:val="20"/>
        </w:rPr>
        <w:t xml:space="preserve">• Fairness monitoring results (if applicable)</w:t>
      </w:r>
    </w:p>
    <w:p>
      <w:pPr>
        <w:spacing w:after="60"/>
        <w:ind w:left="360"/>
      </w:pPr>
      <w:r>
        <w:rPr>
          <w:rFonts w:ascii="Arial" w:cs="Arial" w:eastAsia="Arial" w:hAnsi="Arial"/>
          <w:color w:val="4B5563"/>
          <w:sz w:val="20"/>
          <w:szCs w:val="20"/>
        </w:rPr>
        <w:t xml:space="preserve">• Regulatory environment changes that may affect the system’s risk classification</w:t>
      </w:r>
    </w:p>
    <w:p>
      <w:pPr>
        <w:spacing w:after="60"/>
        <w:ind w:left="360"/>
      </w:pPr>
      <w:r>
        <w:rPr>
          <w:rFonts w:ascii="Arial" w:cs="Arial" w:eastAsia="Arial" w:hAnsi="Arial"/>
          <w:color w:val="4B5563"/>
          <w:sz w:val="20"/>
          <w:szCs w:val="20"/>
        </w:rPr>
        <w:t xml:space="preserve">• Decision: Continue (no changes), Adjust (modify scope, model, or monitoring), or Retire (decommission with documented rationale)</w:t>
      </w:r>
    </w:p>
    <w:p>
      <w:r>
        <w:br w:type="page"/>
      </w:r>
    </w:p>
    <w:p>
      <w:pPr>
        <w:pStyle w:val="Heading1"/>
        <w:spacing w:before="360" w:after="180"/>
      </w:pPr>
      <w:r>
        <w:rPr>
          <w:rFonts w:ascii="Arial" w:cs="Arial" w:eastAsia="Arial" w:hAnsi="Arial"/>
          <w:b/>
          <w:bCs/>
          <w:color w:val="1F2937"/>
          <w:sz w:val="28"/>
          <w:szCs w:val="28"/>
        </w:rPr>
        <w:t xml:space="preserve">4. Technical Standards</w:t>
      </w:r>
    </w:p>
    <w:p>
      <w:pPr>
        <w:spacing w:after="100"/>
      </w:pPr>
      <w:r>
        <w:rPr>
          <w:rFonts w:ascii="Arial" w:cs="Arial" w:eastAsia="Arial" w:hAnsi="Arial"/>
          <w:color w:val="4B5563"/>
          <w:sz w:val="20"/>
          <w:szCs w:val="20"/>
        </w:rPr>
        <w:t xml:space="preserve">Minimum technical requirements for AI systems, scaled by governance lane. These standards define what “good” looks like for ML lifecycle, data quality, security, and monitoring.</w:t>
      </w:r>
    </w:p>
    <w:p>
      <w:pPr>
        <w:spacing w:after="60"/>
      </w:pPr>
    </w:p>
    <w:p>
      <w:pPr>
        <w:pStyle w:val="Heading2"/>
        <w:spacing w:before="260" w:after="140"/>
      </w:pPr>
      <w:r>
        <w:rPr>
          <w:rFonts w:ascii="Arial" w:cs="Arial" w:eastAsia="Arial" w:hAnsi="Arial"/>
          <w:b/>
          <w:bCs/>
          <w:color w:val="1F2937"/>
          <w:sz w:val="22"/>
          <w:szCs w:val="22"/>
        </w:rPr>
        <w:t xml:space="preserve">4.1 ML Lifecycle Standards</w:t>
      </w:r>
    </w:p>
    <w:p>
      <w:pPr>
        <w:spacing w:after="60"/>
        <w:ind w:left="360"/>
      </w:pPr>
      <w:r>
        <w:rPr>
          <w:rFonts w:ascii="Arial" w:cs="Arial" w:eastAsia="Arial" w:hAnsi="Arial"/>
          <w:color w:val="4B5563"/>
          <w:sz w:val="20"/>
          <w:szCs w:val="20"/>
        </w:rPr>
        <w:t xml:space="preserve">• Version control: All model code, configuration, and training data versioned in a source control system</w:t>
      </w:r>
    </w:p>
    <w:p>
      <w:pPr>
        <w:spacing w:after="60"/>
        <w:ind w:left="360"/>
      </w:pPr>
      <w:r>
        <w:rPr>
          <w:rFonts w:ascii="Arial" w:cs="Arial" w:eastAsia="Arial" w:hAnsi="Arial"/>
          <w:color w:val="4B5563"/>
          <w:sz w:val="20"/>
          <w:szCs w:val="20"/>
        </w:rPr>
        <w:t xml:space="preserve">• Reproducibility: Training pipelines must produce consistent results from the same inputs</w:t>
      </w:r>
    </w:p>
    <w:p>
      <w:pPr>
        <w:spacing w:after="60"/>
        <w:ind w:left="360"/>
      </w:pPr>
      <w:r>
        <w:rPr>
          <w:rFonts w:ascii="Arial" w:cs="Arial" w:eastAsia="Arial" w:hAnsi="Arial"/>
          <w:color w:val="4B5563"/>
          <w:sz w:val="20"/>
          <w:szCs w:val="20"/>
        </w:rPr>
        <w:t xml:space="preserve">• Testing: Unit tests for data pipelines, integration tests for model serving, and performance benchmarks before deployment</w:t>
      </w:r>
    </w:p>
    <w:p>
      <w:pPr>
        <w:spacing w:after="60"/>
        <w:ind w:left="360"/>
      </w:pPr>
      <w:r>
        <w:rPr>
          <w:rFonts w:ascii="Arial" w:cs="Arial" w:eastAsia="Arial" w:hAnsi="Arial"/>
          <w:color w:val="4B5563"/>
          <w:sz w:val="20"/>
          <w:szCs w:val="20"/>
        </w:rPr>
        <w:t xml:space="preserve">• Documentation: Model card completed per the risk tier requirements before Gate 2 clearance</w:t>
      </w:r>
    </w:p>
    <w:p>
      <w:pPr>
        <w:spacing w:after="40"/>
      </w:pPr>
    </w:p>
    <w:p>
      <w:pPr>
        <w:pStyle w:val="Heading2"/>
        <w:spacing w:before="260" w:after="140"/>
      </w:pPr>
      <w:r>
        <w:rPr>
          <w:rFonts w:ascii="Arial" w:cs="Arial" w:eastAsia="Arial" w:hAnsi="Arial"/>
          <w:b/>
          <w:bCs/>
          <w:color w:val="1F2937"/>
          <w:sz w:val="22"/>
          <w:szCs w:val="22"/>
        </w:rPr>
        <w:t xml:space="preserve">4.2 Data Quality Requirements</w:t>
      </w:r>
    </w:p>
    <w:p>
      <w:pPr>
        <w:spacing w:after="60"/>
        <w:ind w:left="360"/>
      </w:pPr>
      <w:r>
        <w:rPr>
          <w:rFonts w:ascii="Arial" w:cs="Arial" w:eastAsia="Arial" w:hAnsi="Arial"/>
          <w:color w:val="4B5563"/>
          <w:sz w:val="20"/>
          <w:szCs w:val="20"/>
        </w:rPr>
        <w:t xml:space="preserve">• Data provenance: Source, collection method, and processing steps documented</w:t>
      </w:r>
    </w:p>
    <w:p>
      <w:pPr>
        <w:spacing w:after="60"/>
        <w:ind w:left="360"/>
      </w:pPr>
      <w:r>
        <w:rPr>
          <w:rFonts w:ascii="Arial" w:cs="Arial" w:eastAsia="Arial" w:hAnsi="Arial"/>
          <w:color w:val="4B5563"/>
          <w:sz w:val="20"/>
          <w:szCs w:val="20"/>
        </w:rPr>
        <w:t xml:space="preserve">• Quality metrics: Completeness, accuracy, consistency, and timeliness measured and tracked</w:t>
      </w:r>
    </w:p>
    <w:p>
      <w:pPr>
        <w:spacing w:after="60"/>
        <w:ind w:left="360"/>
      </w:pPr>
      <w:r>
        <w:rPr>
          <w:rFonts w:ascii="Arial" w:cs="Arial" w:eastAsia="Arial" w:hAnsi="Arial"/>
          <w:color w:val="4B5563"/>
          <w:sz w:val="20"/>
          <w:szCs w:val="20"/>
        </w:rPr>
        <w:t xml:space="preserve">• Bias assessment: Training data evaluated for representation across protected attributes</w:t>
      </w:r>
    </w:p>
    <w:p>
      <w:pPr>
        <w:spacing w:after="60"/>
        <w:ind w:left="360"/>
      </w:pPr>
      <w:r>
        <w:rPr>
          <w:rFonts w:ascii="Arial" w:cs="Arial" w:eastAsia="Arial" w:hAnsi="Arial"/>
          <w:color w:val="4B5563"/>
          <w:sz w:val="20"/>
          <w:szCs w:val="20"/>
        </w:rPr>
        <w:t xml:space="preserve">• Access governance: Data access restricted to authorized personnel with audit logging</w:t>
      </w:r>
    </w:p>
    <w:p>
      <w:pPr>
        <w:spacing w:after="40"/>
      </w:pPr>
    </w:p>
    <w:p>
      <w:pPr>
        <w:pStyle w:val="Heading2"/>
        <w:spacing w:before="260" w:after="140"/>
      </w:pPr>
      <w:r>
        <w:rPr>
          <w:rFonts w:ascii="Arial" w:cs="Arial" w:eastAsia="Arial" w:hAnsi="Arial"/>
          <w:b/>
          <w:bCs/>
          <w:color w:val="1F2937"/>
          <w:sz w:val="22"/>
          <w:szCs w:val="22"/>
        </w:rPr>
        <w:t xml:space="preserve">4.3 Security Requirements</w:t>
      </w:r>
    </w:p>
    <w:p>
      <w:pPr>
        <w:spacing w:after="60"/>
        <w:ind w:left="360"/>
      </w:pPr>
      <w:r>
        <w:rPr>
          <w:rFonts w:ascii="Arial" w:cs="Arial" w:eastAsia="Arial" w:hAnsi="Arial"/>
          <w:color w:val="4B5563"/>
          <w:sz w:val="20"/>
          <w:szCs w:val="20"/>
        </w:rPr>
        <w:t xml:space="preserve">• Authentication and authorization for all model endpoints</w:t>
      </w:r>
    </w:p>
    <w:p>
      <w:pPr>
        <w:spacing w:after="60"/>
        <w:ind w:left="360"/>
      </w:pPr>
      <w:r>
        <w:rPr>
          <w:rFonts w:ascii="Arial" w:cs="Arial" w:eastAsia="Arial" w:hAnsi="Arial"/>
          <w:color w:val="4B5563"/>
          <w:sz w:val="20"/>
          <w:szCs w:val="20"/>
        </w:rPr>
        <w:t xml:space="preserve">• Encryption in transit and at rest for model inputs, outputs, and training data</w:t>
      </w:r>
    </w:p>
    <w:p>
      <w:pPr>
        <w:spacing w:after="60"/>
        <w:ind w:left="360"/>
      </w:pPr>
      <w:r>
        <w:rPr>
          <w:rFonts w:ascii="Arial" w:cs="Arial" w:eastAsia="Arial" w:hAnsi="Arial"/>
          <w:color w:val="4B5563"/>
          <w:sz w:val="20"/>
          <w:szCs w:val="20"/>
        </w:rPr>
        <w:t xml:space="preserve">• Input validation: Prompt injection and adversarial input protections for LLM-based systems</w:t>
      </w:r>
    </w:p>
    <w:p>
      <w:pPr>
        <w:spacing w:after="60"/>
        <w:ind w:left="360"/>
      </w:pPr>
      <w:r>
        <w:rPr>
          <w:rFonts w:ascii="Arial" w:cs="Arial" w:eastAsia="Arial" w:hAnsi="Arial"/>
          <w:color w:val="4B5563"/>
          <w:sz w:val="20"/>
          <w:szCs w:val="20"/>
        </w:rPr>
        <w:t xml:space="preserve">• Secrets management: API keys, credentials, and tokens stored in approved vault systems</w:t>
      </w:r>
    </w:p>
    <w:p>
      <w:pPr>
        <w:spacing w:after="40"/>
      </w:pPr>
    </w:p>
    <w:p>
      <w:pPr>
        <w:pStyle w:val="Heading2"/>
        <w:spacing w:before="260" w:after="140"/>
      </w:pPr>
      <w:r>
        <w:rPr>
          <w:rFonts w:ascii="Arial" w:cs="Arial" w:eastAsia="Arial" w:hAnsi="Arial"/>
          <w:b/>
          <w:bCs/>
          <w:color w:val="1F2937"/>
          <w:sz w:val="22"/>
          <w:szCs w:val="22"/>
        </w:rPr>
        <w:t xml:space="preserve">4.4 Monitoring Requirements by Lane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360"/>
        <w:gridCol w:w="2300"/>
      </w:tblGrid>
      <w:tr>
        <w:tc>
          <w:tcPr>
            <w:tcW w:type="dxa" w:w="25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Metric</w:t>
            </w:r>
          </w:p>
        </w:tc>
        <w:tc>
          <w:tcPr>
            <w:tcW w:type="dxa" w:w="2200"/>
            <w:tcBorders>
              <w:top w:val="single" w:color="E5E7EB" w:sz="1"/>
              <w:left w:val="single" w:color="E5E7EB" w:sz="1"/>
              <w:bottom w:val="single" w:color="E5E7EB" w:sz="1"/>
              <w:right w:val="single" w:color="E5E7EB" w:sz="1"/>
            </w:tcBorders>
            <w:shd w:fill="05966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Express</w:t>
            </w:r>
          </w:p>
        </w:tc>
        <w:tc>
          <w:tcPr>
            <w:tcW w:type="dxa" w:w="2360"/>
            <w:tcBorders>
              <w:top w:val="single" w:color="E5E7EB" w:sz="1"/>
              <w:left w:val="single" w:color="E5E7EB" w:sz="1"/>
              <w:bottom w:val="single" w:color="E5E7EB" w:sz="1"/>
              <w:right w:val="single" w:color="E5E7EB" w:sz="1"/>
            </w:tcBorders>
            <w:shd w:fill="D9770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Standard</w:t>
            </w:r>
          </w:p>
        </w:tc>
        <w:tc>
          <w:tcPr>
            <w:tcW w:type="dxa" w:w="2300"/>
            <w:tcBorders>
              <w:top w:val="single" w:color="E5E7EB" w:sz="1"/>
              <w:left w:val="single" w:color="E5E7EB" w:sz="1"/>
              <w:bottom w:val="single" w:color="E5E7EB" w:sz="1"/>
              <w:right w:val="single" w:color="E5E7EB" w:sz="1"/>
            </w:tcBorders>
            <w:shd w:fill="DC262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Strategic</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left"/>
            </w:pPr>
            <w:r>
              <w:rPr>
                <w:rFonts w:ascii="Arial" w:cs="Arial" w:eastAsia="Arial" w:hAnsi="Arial"/>
                <w:b/>
                <w:bCs/>
                <w:i w:val="false"/>
                <w:iCs w:val="false"/>
                <w:color w:val="1F2937"/>
                <w:sz w:val="18"/>
                <w:szCs w:val="18"/>
              </w:rPr>
              <w:t xml:space="preserve">Performance metrics</w:t>
            </w:r>
          </w:p>
        </w:tc>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18"/>
                <w:szCs w:val="18"/>
              </w:rPr>
              <w:t xml:space="preserve">Annual review</w:t>
            </w:r>
          </w:p>
        </w:tc>
        <w:tc>
          <w:tcPr>
            <w:tcW w:type="dxa" w:w="2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18"/>
                <w:szCs w:val="18"/>
              </w:rPr>
              <w:t xml:space="preserve">Tracked semi-annually</w:t>
            </w:r>
          </w:p>
        </w:tc>
        <w:tc>
          <w:tcPr>
            <w:tcW w:type="dxa" w:w="23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18"/>
                <w:szCs w:val="18"/>
              </w:rPr>
              <w:t xml:space="preserve">Continuous with alerting</w:t>
            </w:r>
          </w:p>
        </w:tc>
      </w:tr>
      <w:tr>
        <w:tc>
          <w:tcPr>
            <w:tcW w:type="dxa" w:w="25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jc w:val="left"/>
            </w:pPr>
            <w:r>
              <w:rPr>
                <w:rFonts w:ascii="Arial" w:cs="Arial" w:eastAsia="Arial" w:hAnsi="Arial"/>
                <w:b/>
                <w:bCs/>
                <w:i w:val="false"/>
                <w:iCs w:val="false"/>
                <w:color w:val="1F2937"/>
                <w:sz w:val="18"/>
                <w:szCs w:val="18"/>
              </w:rPr>
              <w:t xml:space="preserve">Model drift detection</w:t>
            </w:r>
          </w:p>
        </w:tc>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18"/>
                <w:szCs w:val="18"/>
              </w:rPr>
              <w:t xml:space="preserve">Not required</w:t>
            </w:r>
          </w:p>
        </w:tc>
        <w:tc>
          <w:tcPr>
            <w:tcW w:type="dxa" w:w="236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18"/>
                <w:szCs w:val="18"/>
              </w:rPr>
              <w:t xml:space="preserve">Planned/semi-annual</w:t>
            </w:r>
          </w:p>
        </w:tc>
        <w:tc>
          <w:tcPr>
            <w:tcW w:type="dxa" w:w="23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18"/>
                <w:szCs w:val="18"/>
              </w:rPr>
              <w:t xml:space="preserve">Automated + continuous</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left"/>
            </w:pPr>
            <w:r>
              <w:rPr>
                <w:rFonts w:ascii="Arial" w:cs="Arial" w:eastAsia="Arial" w:hAnsi="Arial"/>
                <w:b/>
                <w:bCs/>
                <w:i w:val="false"/>
                <w:iCs w:val="false"/>
                <w:color w:val="1F2937"/>
                <w:sz w:val="18"/>
                <w:szCs w:val="18"/>
              </w:rPr>
              <w:t xml:space="preserve">Fairness monitoring</w:t>
            </w:r>
          </w:p>
        </w:tc>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18"/>
                <w:szCs w:val="18"/>
              </w:rPr>
              <w:t xml:space="preserve">Not required</w:t>
            </w:r>
          </w:p>
        </w:tc>
        <w:tc>
          <w:tcPr>
            <w:tcW w:type="dxa" w:w="2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18"/>
                <w:szCs w:val="18"/>
              </w:rPr>
              <w:t xml:space="preserve">At re-assessment</w:t>
            </w:r>
          </w:p>
        </w:tc>
        <w:tc>
          <w:tcPr>
            <w:tcW w:type="dxa" w:w="23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18"/>
                <w:szCs w:val="18"/>
              </w:rPr>
              <w:t xml:space="preserve">Continuous with thresholds</w:t>
            </w:r>
          </w:p>
        </w:tc>
      </w:tr>
      <w:tr>
        <w:tc>
          <w:tcPr>
            <w:tcW w:type="dxa" w:w="25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jc w:val="left"/>
            </w:pPr>
            <w:r>
              <w:rPr>
                <w:rFonts w:ascii="Arial" w:cs="Arial" w:eastAsia="Arial" w:hAnsi="Arial"/>
                <w:b/>
                <w:bCs/>
                <w:i w:val="false"/>
                <w:iCs w:val="false"/>
                <w:color w:val="1F2937"/>
                <w:sz w:val="18"/>
                <w:szCs w:val="18"/>
              </w:rPr>
              <w:t xml:space="preserve">Cost monitoring</w:t>
            </w:r>
          </w:p>
        </w:tc>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18"/>
                <w:szCs w:val="18"/>
              </w:rPr>
              <w:t xml:space="preserve">Annual review</w:t>
            </w:r>
          </w:p>
        </w:tc>
        <w:tc>
          <w:tcPr>
            <w:tcW w:type="dxa" w:w="236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18"/>
                <w:szCs w:val="18"/>
              </w:rPr>
              <w:t xml:space="preserve">Quarterly review</w:t>
            </w:r>
          </w:p>
        </w:tc>
        <w:tc>
          <w:tcPr>
            <w:tcW w:type="dxa" w:w="23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18"/>
                <w:szCs w:val="18"/>
              </w:rPr>
              <w:t xml:space="preserve">Monthly with anomaly alerts</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left"/>
            </w:pPr>
            <w:r>
              <w:rPr>
                <w:rFonts w:ascii="Arial" w:cs="Arial" w:eastAsia="Arial" w:hAnsi="Arial"/>
                <w:b/>
                <w:bCs/>
                <w:i w:val="false"/>
                <w:iCs w:val="false"/>
                <w:color w:val="1F2937"/>
                <w:sz w:val="18"/>
                <w:szCs w:val="18"/>
              </w:rPr>
              <w:t xml:space="preserve">Incident logging</w:t>
            </w:r>
          </w:p>
        </w:tc>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18"/>
                <w:szCs w:val="18"/>
              </w:rPr>
              <w:t xml:space="preserve">Anomaly-triggered</w:t>
            </w:r>
          </w:p>
        </w:tc>
        <w:tc>
          <w:tcPr>
            <w:tcW w:type="dxa" w:w="2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18"/>
                <w:szCs w:val="18"/>
              </w:rPr>
              <w:t xml:space="preserve">Systematic logging</w:t>
            </w:r>
          </w:p>
        </w:tc>
        <w:tc>
          <w:tcPr>
            <w:tcW w:type="dxa" w:w="23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18"/>
                <w:szCs w:val="18"/>
              </w:rPr>
              <w:t xml:space="preserve">Real-time logging + alerting</w:t>
            </w:r>
          </w:p>
        </w:tc>
      </w:tr>
    </w:tbl>
    <w:p>
      <w:r>
        <w:br w:type="page"/>
      </w:r>
    </w:p>
    <w:p>
      <w:pPr>
        <w:pStyle w:val="Heading1"/>
        <w:spacing w:before="360" w:after="180"/>
      </w:pPr>
      <w:r>
        <w:rPr>
          <w:rFonts w:ascii="Arial" w:cs="Arial" w:eastAsia="Arial" w:hAnsi="Arial"/>
          <w:b/>
          <w:bCs/>
          <w:color w:val="1F2937"/>
          <w:sz w:val="28"/>
          <w:szCs w:val="28"/>
        </w:rPr>
        <w:t xml:space="preserve">5. Vendor &amp; Third-Party AI Governance</w:t>
      </w:r>
    </w:p>
    <w:p>
      <w:pPr>
        <w:spacing w:after="100"/>
      </w:pPr>
      <w:r>
        <w:rPr>
          <w:rFonts w:ascii="Arial" w:cs="Arial" w:eastAsia="Arial" w:hAnsi="Arial"/>
          <w:color w:val="4B5563"/>
          <w:sz w:val="20"/>
          <w:szCs w:val="20"/>
        </w:rPr>
        <w:t xml:space="preserve">Most organizations use more third-party AI than they build. Vendor governance ensures that AI embedded in SaaS platforms, API services, and contractor deliverables meets the same standards as internally built systems.</w:t>
      </w:r>
    </w:p>
    <w:p>
      <w:pPr>
        <w:spacing w:after="60"/>
      </w:pPr>
    </w:p>
    <w:p>
      <w:pPr>
        <w:pStyle w:val="Heading2"/>
        <w:spacing w:before="260" w:after="140"/>
      </w:pPr>
      <w:r>
        <w:rPr>
          <w:rFonts w:ascii="Arial" w:cs="Arial" w:eastAsia="Arial" w:hAnsi="Arial"/>
          <w:b/>
          <w:bCs/>
          <w:color w:val="1F2937"/>
          <w:sz w:val="22"/>
          <w:szCs w:val="22"/>
        </w:rPr>
        <w:t xml:space="preserve">5.1 Shadow AI Discovery</w:t>
      </w:r>
    </w:p>
    <w:p>
      <w:pPr>
        <w:spacing w:after="100"/>
      </w:pPr>
      <w:r>
        <w:rPr>
          <w:rFonts w:ascii="Arial" w:cs="Arial" w:eastAsia="Arial" w:hAnsi="Arial"/>
          <w:color w:val="4B5563"/>
          <w:sz w:val="20"/>
          <w:szCs w:val="20"/>
        </w:rPr>
        <w:t xml:space="preserve">Shadow AI — AI tools used by employees without governance oversight — is both a risk signal and an opportunity signal. It means demand for AI is real. It also means data may be flowing to unapproved systems.</w:t>
      </w:r>
    </w:p>
    <w:p>
      <w:pPr>
        <w:spacing w:after="60"/>
        <w:ind w:left="360"/>
      </w:pPr>
      <w:r>
        <w:rPr>
          <w:rFonts w:ascii="Arial" w:cs="Arial" w:eastAsia="Arial" w:hAnsi="Arial"/>
          <w:color w:val="4B5563"/>
          <w:sz w:val="20"/>
          <w:szCs w:val="20"/>
        </w:rPr>
        <w:t xml:space="preserve">• Inventory audit: Survey all departments for AI tools in use (including free-tier ChatGPT, Copilot features, and AI embedded in SaaS platforms)</w:t>
      </w:r>
    </w:p>
    <w:p>
      <w:pPr>
        <w:spacing w:after="60"/>
        <w:ind w:left="360"/>
      </w:pPr>
      <w:r>
        <w:rPr>
          <w:rFonts w:ascii="Arial" w:cs="Arial" w:eastAsia="Arial" w:hAnsi="Arial"/>
          <w:color w:val="4B5563"/>
          <w:sz w:val="20"/>
          <w:szCs w:val="20"/>
        </w:rPr>
        <w:t xml:space="preserve">• IT discovery: Review network traffic, SSO logs, and procurement records for AI tool usage</w:t>
      </w:r>
    </w:p>
    <w:p>
      <w:pPr>
        <w:spacing w:after="60"/>
        <w:ind w:left="360"/>
      </w:pPr>
      <w:r>
        <w:rPr>
          <w:rFonts w:ascii="Arial" w:cs="Arial" w:eastAsia="Arial" w:hAnsi="Arial"/>
          <w:color w:val="4B5563"/>
          <w:sz w:val="20"/>
          <w:szCs w:val="20"/>
        </w:rPr>
        <w:t xml:space="preserve">• On-ramp path: For shadow AI tools that provide genuine value, create a fast-track governance review (Express Lane) rather than a blanket prohibition</w:t>
      </w:r>
    </w:p>
    <w:p>
      <w:pPr>
        <w:spacing w:after="40"/>
      </w:pPr>
    </w:p>
    <w:p>
      <w:pPr>
        <w:pStyle w:val="Heading2"/>
        <w:spacing w:before="260" w:after="140"/>
      </w:pPr>
      <w:r>
        <w:rPr>
          <w:rFonts w:ascii="Arial" w:cs="Arial" w:eastAsia="Arial" w:hAnsi="Arial"/>
          <w:b/>
          <w:bCs/>
          <w:color w:val="1F2937"/>
          <w:sz w:val="22"/>
          <w:szCs w:val="22"/>
        </w:rPr>
        <w:t xml:space="preserve">5.2 Vendor Assessment</w:t>
      </w:r>
    </w:p>
    <w:p>
      <w:pPr>
        <w:spacing w:after="100"/>
      </w:pPr>
      <w:r>
        <w:rPr>
          <w:rFonts w:ascii="Arial" w:cs="Arial" w:eastAsia="Arial" w:hAnsi="Arial"/>
          <w:color w:val="4B5563"/>
          <w:sz w:val="20"/>
          <w:szCs w:val="20"/>
        </w:rPr>
        <w:t xml:space="preserve">Use the Vendor Assessment Scorecard template to evaluate third-party AI tools. Key assessment areas:</w:t>
      </w:r>
    </w:p>
    <w:p>
      <w:pPr>
        <w:spacing w:after="60"/>
        <w:ind w:left="360"/>
      </w:pPr>
      <w:r>
        <w:rPr>
          <w:rFonts w:ascii="Arial" w:cs="Arial" w:eastAsia="Arial" w:hAnsi="Arial"/>
          <w:color w:val="4B5563"/>
          <w:sz w:val="20"/>
          <w:szCs w:val="20"/>
        </w:rPr>
        <w:t xml:space="preserve">• Data practices: How does the vendor use customer data? Is it used for model training? Can you opt out?</w:t>
      </w:r>
    </w:p>
    <w:p>
      <w:pPr>
        <w:spacing w:after="60"/>
        <w:ind w:left="360"/>
      </w:pPr>
      <w:r>
        <w:rPr>
          <w:rFonts w:ascii="Arial" w:cs="Arial" w:eastAsia="Arial" w:hAnsi="Arial"/>
          <w:color w:val="4B5563"/>
          <w:sz w:val="20"/>
          <w:szCs w:val="20"/>
        </w:rPr>
        <w:t xml:space="preserve">• Security posture: SOC 2, encryption, access controls, incident response</w:t>
      </w:r>
    </w:p>
    <w:p>
      <w:pPr>
        <w:spacing w:after="60"/>
        <w:ind w:left="360"/>
      </w:pPr>
      <w:r>
        <w:rPr>
          <w:rFonts w:ascii="Arial" w:cs="Arial" w:eastAsia="Arial" w:hAnsi="Arial"/>
          <w:color w:val="4B5563"/>
          <w:sz w:val="20"/>
          <w:szCs w:val="20"/>
        </w:rPr>
        <w:t xml:space="preserve">• Transparency: Can you see how the AI makes decisions? Is there documentation?</w:t>
      </w:r>
    </w:p>
    <w:p>
      <w:pPr>
        <w:spacing w:after="60"/>
        <w:ind w:left="360"/>
      </w:pPr>
      <w:r>
        <w:rPr>
          <w:rFonts w:ascii="Arial" w:cs="Arial" w:eastAsia="Arial" w:hAnsi="Arial"/>
          <w:color w:val="4B5563"/>
          <w:sz w:val="20"/>
          <w:szCs w:val="20"/>
        </w:rPr>
        <w:t xml:space="preserve">• Performance SLAs: Uptime, latency, accuracy guarantees</w:t>
      </w:r>
    </w:p>
    <w:p>
      <w:pPr>
        <w:spacing w:after="60"/>
        <w:ind w:left="360"/>
      </w:pPr>
      <w:r>
        <w:rPr>
          <w:rFonts w:ascii="Arial" w:cs="Arial" w:eastAsia="Arial" w:hAnsi="Arial"/>
          <w:color w:val="4B5563"/>
          <w:sz w:val="20"/>
          <w:szCs w:val="20"/>
        </w:rPr>
        <w:t xml:space="preserve">• Contractual protections: Data ownership, liability, indemnification, exit provisions</w:t>
      </w:r>
    </w:p>
    <w:p>
      <w:pPr>
        <w:spacing w:after="60"/>
        <w:ind w:left="360"/>
      </w:pPr>
      <w:r>
        <w:rPr>
          <w:rFonts w:ascii="Arial" w:cs="Arial" w:eastAsia="Arial" w:hAnsi="Arial"/>
          <w:color w:val="4B5563"/>
          <w:sz w:val="20"/>
          <w:szCs w:val="20"/>
        </w:rPr>
        <w:t xml:space="preserve">• Model update policy: How and when does the vendor update their models? Are you notified?</w:t>
      </w:r>
    </w:p>
    <w:p>
      <w:r>
        <w:br w:type="page"/>
      </w:r>
    </w:p>
    <w:p>
      <w:pPr>
        <w:pStyle w:val="Heading1"/>
        <w:spacing w:before="360" w:after="180"/>
      </w:pPr>
      <w:r>
        <w:rPr>
          <w:rFonts w:ascii="Arial" w:cs="Arial" w:eastAsia="Arial" w:hAnsi="Arial"/>
          <w:b/>
          <w:bCs/>
          <w:color w:val="1F2937"/>
          <w:sz w:val="28"/>
          <w:szCs w:val="28"/>
        </w:rPr>
        <w:t xml:space="preserve">6. Change Management: The Three-Register Model</w:t>
      </w:r>
    </w:p>
    <w:p>
      <w:pPr>
        <w:spacing w:after="100"/>
      </w:pPr>
      <w:r>
        <w:rPr>
          <w:rFonts w:ascii="Arial" w:cs="Arial" w:eastAsia="Arial" w:hAnsi="Arial"/>
          <w:color w:val="4B5563"/>
          <w:sz w:val="20"/>
          <w:szCs w:val="20"/>
        </w:rPr>
        <w:t xml:space="preserve">AI change management is different from traditional change management. When employees resist an ERP change, they worry about their workflow. When employees resist AI, they may worry about their job, their professional identity, or their long-term relevance. Standard change management frameworks (like ADKAR) work for the first type of resistance. They need modification for the second and third.</w:t>
      </w:r>
    </w:p>
    <w:p>
      <w:pPr>
        <w:spacing w:after="60"/>
      </w:pPr>
    </w:p>
    <w:p>
      <w:pPr>
        <w:pStyle w:val="Heading2"/>
        <w:spacing w:before="260" w:after="140"/>
      </w:pPr>
      <w:r>
        <w:rPr>
          <w:rFonts w:ascii="Arial" w:cs="Arial" w:eastAsia="Arial" w:hAnsi="Arial"/>
          <w:b/>
          <w:bCs/>
          <w:color w:val="1F2937"/>
          <w:sz w:val="22"/>
          <w:szCs w:val="22"/>
        </w:rPr>
        <w:t xml:space="preserve">6.1 The Three Registers of AI Resistance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360"/>
        <w:gridCol w:w="2200"/>
      </w:tblGrid>
      <w:tr>
        <w:tc>
          <w:tcPr>
            <w:tcW w:type="dxa" w:w="18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Register</w:t>
            </w:r>
          </w:p>
        </w:tc>
        <w:tc>
          <w:tcPr>
            <w:tcW w:type="dxa" w:w="30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What It Is</w:t>
            </w:r>
          </w:p>
        </w:tc>
        <w:tc>
          <w:tcPr>
            <w:tcW w:type="dxa" w:w="236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How to Identify</w:t>
            </w:r>
          </w:p>
        </w:tc>
        <w:tc>
          <w:tcPr>
            <w:tcW w:type="dxa" w:w="22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Intervention</w:t>
            </w:r>
          </w:p>
        </w:tc>
      </w:tr>
      <w:tr>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left"/>
            </w:pPr>
            <w:r>
              <w:rPr>
                <w:rFonts w:ascii="Arial" w:cs="Arial" w:eastAsia="Arial" w:hAnsi="Arial"/>
                <w:b/>
                <w:bCs/>
                <w:i w:val="false"/>
                <w:iCs w:val="false"/>
                <w:color w:val="1F2937"/>
                <w:sz w:val="18"/>
                <w:szCs w:val="18"/>
              </w:rPr>
              <w:t xml:space="preserve">1. Workflow</w:t>
            </w:r>
          </w:p>
        </w:tc>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18"/>
                <w:szCs w:val="18"/>
              </w:rPr>
              <w:t xml:space="preserve">Resistance to changes in daily work processes. Standard change territory.</w:t>
            </w:r>
          </w:p>
        </w:tc>
        <w:tc>
          <w:tcPr>
            <w:tcW w:type="dxa" w:w="2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18"/>
                <w:szCs w:val="18"/>
              </w:rPr>
              <w:t xml:space="preserve">Expressed concern about “how this changes my daily work” without deeper emotional charge.</w:t>
            </w:r>
          </w:p>
        </w:tc>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18"/>
                <w:szCs w:val="18"/>
              </w:rPr>
              <w:t xml:space="preserve">Workflow co-design sessions. Give people a role in shaping the change.</w:t>
            </w:r>
          </w:p>
        </w:tc>
      </w:tr>
      <w:tr>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jc w:val="left"/>
            </w:pPr>
            <w:r>
              <w:rPr>
                <w:rFonts w:ascii="Arial" w:cs="Arial" w:eastAsia="Arial" w:hAnsi="Arial"/>
                <w:b/>
                <w:bCs/>
                <w:i w:val="false"/>
                <w:iCs w:val="false"/>
                <w:color w:val="1F2937"/>
                <w:sz w:val="18"/>
                <w:szCs w:val="18"/>
              </w:rPr>
              <w:t xml:space="preserve">2. Professional Identity</w:t>
            </w:r>
          </w:p>
        </w:tc>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18"/>
                <w:szCs w:val="18"/>
              </w:rPr>
              <w:t xml:space="preserve">Resistance rooted in perceived threat to professional value. The analyst facing an AI analytics tool.</w:t>
            </w:r>
          </w:p>
        </w:tc>
        <w:tc>
          <w:tcPr>
            <w:tcW w:type="dxa" w:w="236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18"/>
                <w:szCs w:val="18"/>
              </w:rPr>
              <w:t xml:space="preserve">Statements about AI “replacing what I do” or “making my skills irrelevant.”</w:t>
            </w:r>
          </w:p>
        </w:tc>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18"/>
                <w:szCs w:val="18"/>
              </w:rPr>
              <w:t xml:space="preserve">Peer testimony from comparable roles. Redefine the role as the quality layer, not the output layer.</w:t>
            </w:r>
          </w:p>
        </w:tc>
      </w:tr>
      <w:tr>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left"/>
            </w:pPr>
            <w:r>
              <w:rPr>
                <w:rFonts w:ascii="Arial" w:cs="Arial" w:eastAsia="Arial" w:hAnsi="Arial"/>
                <w:b/>
                <w:bCs/>
                <w:i w:val="false"/>
                <w:iCs w:val="false"/>
                <w:color w:val="1F2937"/>
                <w:sz w:val="18"/>
                <w:szCs w:val="18"/>
              </w:rPr>
              <w:t xml:space="preserve">3. Existential</w:t>
            </w:r>
          </w:p>
        </w:tc>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18"/>
                <w:szCs w:val="18"/>
              </w:rPr>
              <w:t xml:space="preserve">Fundamental concern about long-term employability. Often presents as quiet disengagement, not vocal resistance.</w:t>
            </w:r>
          </w:p>
        </w:tc>
        <w:tc>
          <w:tcPr>
            <w:tcW w:type="dxa" w:w="2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18"/>
                <w:szCs w:val="18"/>
              </w:rPr>
              <w:t xml:space="preserve">Disengagement. Quiet compliance in training + zero adoption in practice. Absent from optional AI sessions.</w:t>
            </w:r>
          </w:p>
        </w:tc>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18"/>
                <w:szCs w:val="18"/>
              </w:rPr>
              <w:t xml:space="preserve">Executive sponsorship: credible organizational commitment to AI-augmented career pathways. Not reassurance — visible investment.</w:t>
            </w:r>
          </w:p>
        </w:tc>
      </w:tr>
    </w:tbl>
    <w:p>
      <w:pPr>
        <w:spacing w:after="80"/>
      </w:pPr>
    </w:p>
    <w:p>
      <w:pPr>
        <w:pStyle w:val="Heading2"/>
        <w:spacing w:before="260" w:after="140"/>
      </w:pPr>
      <w:r>
        <w:rPr>
          <w:rFonts w:ascii="Arial" w:cs="Arial" w:eastAsia="Arial" w:hAnsi="Arial"/>
          <w:b/>
          <w:bCs/>
          <w:color w:val="1F2937"/>
          <w:sz w:val="22"/>
          <w:szCs w:val="22"/>
        </w:rPr>
        <w:t xml:space="preserve">6.2 Running the Three-Register Assessment</w:t>
      </w:r>
    </w:p>
    <w:p>
      <w:pPr>
        <w:spacing w:after="100"/>
      </w:pPr>
      <w:r>
        <w:rPr>
          <w:rFonts w:ascii="Arial" w:cs="Arial" w:eastAsia="Arial" w:hAnsi="Arial"/>
          <w:color w:val="4B5563"/>
          <w:sz w:val="20"/>
          <w:szCs w:val="20"/>
        </w:rPr>
        <w:t xml:space="preserve">Before any major AI deployment that affects a workforce, run a structured assessment to identify which registers of resistance are present. This takes 30–45 minutes and produces the intervention plan.</w:t>
      </w:r>
    </w:p>
    <w:p>
      <w:pPr>
        <w:spacing w:after="60"/>
        <w:ind w:left="360"/>
      </w:pPr>
      <w:r>
        <w:rPr>
          <w:rFonts w:ascii="Arial" w:cs="Arial" w:eastAsia="Arial" w:hAnsi="Arial"/>
          <w:color w:val="4B5563"/>
          <w:sz w:val="20"/>
          <w:szCs w:val="20"/>
        </w:rPr>
        <w:t xml:space="preserve">• Step 1: Identify the affected population (who will this AI system change the work of?)</w:t>
      </w:r>
    </w:p>
    <w:p>
      <w:pPr>
        <w:spacing w:after="60"/>
        <w:ind w:left="360"/>
      </w:pPr>
      <w:r>
        <w:rPr>
          <w:rFonts w:ascii="Arial" w:cs="Arial" w:eastAsia="Arial" w:hAnsi="Arial"/>
          <w:color w:val="4B5563"/>
          <w:sz w:val="20"/>
          <w:szCs w:val="20"/>
        </w:rPr>
        <w:t xml:space="preserve">• Step 2: Run a brief survey (5–10 questions) measuring sentiment across the three registers</w:t>
      </w:r>
    </w:p>
    <w:p>
      <w:pPr>
        <w:spacing w:after="60"/>
        <w:ind w:left="360"/>
      </w:pPr>
      <w:r>
        <w:rPr>
          <w:rFonts w:ascii="Arial" w:cs="Arial" w:eastAsia="Arial" w:hAnsi="Arial"/>
          <w:color w:val="4B5563"/>
          <w:sz w:val="20"/>
          <w:szCs w:val="20"/>
        </w:rPr>
        <w:t xml:space="preserve">• Step 3: Classify the population by dominant register</w:t>
      </w:r>
    </w:p>
    <w:p>
      <w:pPr>
        <w:spacing w:after="60"/>
        <w:ind w:left="360"/>
      </w:pPr>
      <w:r>
        <w:rPr>
          <w:rFonts w:ascii="Arial" w:cs="Arial" w:eastAsia="Arial" w:hAnsi="Arial"/>
          <w:color w:val="4B5563"/>
          <w:sz w:val="20"/>
          <w:szCs w:val="20"/>
        </w:rPr>
        <w:t xml:space="preserve">• Step 4: Design the intervention track for each register present</w:t>
      </w:r>
    </w:p>
    <w:p>
      <w:pPr>
        <w:spacing w:after="60"/>
        <w:ind w:left="360"/>
      </w:pPr>
      <w:r>
        <w:rPr>
          <w:rFonts w:ascii="Arial" w:cs="Arial" w:eastAsia="Arial" w:hAnsi="Arial"/>
          <w:color w:val="4B5563"/>
          <w:sz w:val="20"/>
          <w:szCs w:val="20"/>
        </w:rPr>
        <w:t xml:space="preserve">• Step 5: Assign sponsorship (Register 1 = Change Champion, Register 2 = peers + manager, Register 3 = executive sponsor)</w:t>
      </w:r>
    </w:p>
    <w:p>
      <w:pPr>
        <w:spacing w:after="60"/>
      </w:pPr>
    </w:p>
    <w:p>
      <w:pPr>
        <w:pStyle w:val="Heading2"/>
        <w:spacing w:before="260" w:after="140"/>
      </w:pPr>
      <w:r>
        <w:rPr>
          <w:rFonts w:ascii="Arial" w:cs="Arial" w:eastAsia="Arial" w:hAnsi="Arial"/>
          <w:b/>
          <w:bCs/>
          <w:color w:val="1F2937"/>
          <w:sz w:val="22"/>
          <w:szCs w:val="22"/>
        </w:rPr>
        <w:t xml:space="preserve">6.3 Sustaining Adoption</w:t>
      </w:r>
    </w:p>
    <w:p>
      <w:pPr>
        <w:spacing w:after="100"/>
      </w:pPr>
      <w:r>
        <w:rPr>
          <w:rFonts w:ascii="Arial" w:cs="Arial" w:eastAsia="Arial" w:hAnsi="Arial"/>
          <w:color w:val="4B5563"/>
          <w:sz w:val="20"/>
          <w:szCs w:val="20"/>
        </w:rPr>
        <w:t xml:space="preserve">AI change management is not a one-time event. The AI environment changes (new models, new tools, new capabilities), and the workforce needs to adapt continuously. Recommended practices:</w:t>
      </w:r>
    </w:p>
    <w:p>
      <w:pPr>
        <w:spacing w:after="60"/>
        <w:ind w:left="360"/>
      </w:pPr>
      <w:r>
        <w:rPr>
          <w:rFonts w:ascii="Arial" w:cs="Arial" w:eastAsia="Arial" w:hAnsi="Arial"/>
          <w:color w:val="4B5563"/>
          <w:sz w:val="20"/>
          <w:szCs w:val="20"/>
        </w:rPr>
        <w:t xml:space="preserve">• Quarterly adoption check-in: Brief pulse survey measuring adoption quality, not just frequency</w:t>
      </w:r>
    </w:p>
    <w:p>
      <w:pPr>
        <w:spacing w:after="60"/>
        <w:ind w:left="360"/>
      </w:pPr>
      <w:r>
        <w:rPr>
          <w:rFonts w:ascii="Arial" w:cs="Arial" w:eastAsia="Arial" w:hAnsi="Arial"/>
          <w:color w:val="4B5563"/>
          <w:sz w:val="20"/>
          <w:szCs w:val="20"/>
        </w:rPr>
        <w:t xml:space="preserve">• Manager coaching: Equip first-line managers to identify resistance signals and apply appropriate interventions</w:t>
      </w:r>
    </w:p>
    <w:p>
      <w:pPr>
        <w:spacing w:after="60"/>
        <w:ind w:left="360"/>
      </w:pPr>
      <w:r>
        <w:rPr>
          <w:rFonts w:ascii="Arial" w:cs="Arial" w:eastAsia="Arial" w:hAnsi="Arial"/>
          <w:color w:val="4B5563"/>
          <w:sz w:val="20"/>
          <w:szCs w:val="20"/>
        </w:rPr>
        <w:t xml:space="preserve">• Decision rights updates: As AI capabilities evolve, update what employees are authorized to do without approval</w:t>
      </w:r>
    </w:p>
    <w:p>
      <w:r>
        <w:br w:type="page"/>
      </w:r>
    </w:p>
    <w:p>
      <w:pPr>
        <w:pStyle w:val="Heading1"/>
        <w:spacing w:before="360" w:after="180"/>
      </w:pPr>
      <w:r>
        <w:rPr>
          <w:rFonts w:ascii="Arial" w:cs="Arial" w:eastAsia="Arial" w:hAnsi="Arial"/>
          <w:b/>
          <w:bCs/>
          <w:color w:val="1F2937"/>
          <w:sz w:val="28"/>
          <w:szCs w:val="28"/>
        </w:rPr>
        <w:t xml:space="preserve">7. Decision Rights Framework</w:t>
      </w:r>
    </w:p>
    <w:p>
      <w:pPr>
        <w:spacing w:after="100"/>
      </w:pPr>
      <w:r>
        <w:rPr>
          <w:rFonts w:ascii="Arial" w:cs="Arial" w:eastAsia="Arial" w:hAnsi="Arial"/>
          <w:color w:val="4B5563"/>
          <w:sz w:val="20"/>
          <w:szCs w:val="20"/>
        </w:rPr>
        <w:t xml:space="preserve">The single most important thing you can give an employee in an AI-adopting organization is clarity about what they are authorized to do. Without documented decision rights, technically literate employees default to their manager for every AI decision — creating bottlenecks and killing adoption.</w:t>
      </w:r>
    </w:p>
    <w:p>
      <w:pPr>
        <w:spacing w:after="60"/>
      </w:pPr>
    </w:p>
    <w:p>
      <w:pPr>
        <w:pStyle w:val="Heading2"/>
        <w:spacing w:before="260" w:after="140"/>
      </w:pPr>
      <w:r>
        <w:rPr>
          <w:rFonts w:ascii="Arial" w:cs="Arial" w:eastAsia="Arial" w:hAnsi="Arial"/>
          <w:b/>
          <w:bCs/>
          <w:color w:val="1F2937"/>
          <w:sz w:val="22"/>
          <w:szCs w:val="22"/>
        </w:rPr>
        <w:t xml:space="preserve">7.1 The Decision Rights Matrix</w:t>
      </w:r>
    </w:p>
    <w:p>
      <w:pPr>
        <w:spacing w:after="100"/>
      </w:pPr>
      <w:r>
        <w:rPr>
          <w:rFonts w:ascii="Arial" w:cs="Arial" w:eastAsia="Arial" w:hAnsi="Arial"/>
          <w:color w:val="4B5563"/>
          <w:sz w:val="20"/>
          <w:szCs w:val="20"/>
        </w:rPr>
        <w:t xml:space="preserve">Use the Decision Rights Matrix template to define three categories for each role: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60"/>
        <w:gridCol w:w="3200"/>
      </w:tblGrid>
      <w:tr>
        <w:tc>
          <w:tcPr>
            <w:tcW w:type="dxa" w:w="28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Category</w:t>
            </w:r>
          </w:p>
        </w:tc>
        <w:tc>
          <w:tcPr>
            <w:tcW w:type="dxa" w:w="336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Definition</w:t>
            </w:r>
          </w:p>
        </w:tc>
        <w:tc>
          <w:tcPr>
            <w:tcW w:type="dxa" w:w="32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Examples</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left"/>
            </w:pPr>
            <w:r>
              <w:rPr>
                <w:rFonts w:ascii="Arial" w:cs="Arial" w:eastAsia="Arial" w:hAnsi="Arial"/>
                <w:b/>
                <w:bCs/>
                <w:i w:val="false"/>
                <w:iCs w:val="false"/>
                <w:color w:val="1F2937"/>
                <w:sz w:val="18"/>
                <w:szCs w:val="18"/>
              </w:rPr>
              <w:t xml:space="preserve">Authorized (No Approval Needed)</w:t>
            </w:r>
          </w:p>
        </w:tc>
        <w:tc>
          <w:tcPr>
            <w:tcW w:type="dxa" w:w="3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18"/>
                <w:szCs w:val="18"/>
              </w:rPr>
              <w:t xml:space="preserve">Employee can use AI for these tasks independently, following established guidelines</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18"/>
                <w:szCs w:val="18"/>
              </w:rPr>
              <w:t xml:space="preserve">Writing assistance, summarization, research synthesis, meeting transcription, non-confidential analytics</w:t>
            </w:r>
          </w:p>
        </w:tc>
      </w:tr>
      <w:tr>
        <w:tc>
          <w:tcPr>
            <w:tcW w:type="dxa" w:w="28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jc w:val="left"/>
            </w:pPr>
            <w:r>
              <w:rPr>
                <w:rFonts w:ascii="Arial" w:cs="Arial" w:eastAsia="Arial" w:hAnsi="Arial"/>
                <w:b/>
                <w:bCs/>
                <w:i w:val="false"/>
                <w:iCs w:val="false"/>
                <w:color w:val="1F2937"/>
                <w:sz w:val="18"/>
                <w:szCs w:val="18"/>
              </w:rPr>
              <w:t xml:space="preserve">Requires Review</w:t>
            </w:r>
          </w:p>
        </w:tc>
        <w:tc>
          <w:tcPr>
            <w:tcW w:type="dxa" w:w="336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18"/>
                <w:szCs w:val="18"/>
              </w:rPr>
              <w:t xml:space="preserve">Employee must route these tasks to their AI Lead or manager before proceeding</w:t>
            </w:r>
          </w:p>
        </w:tc>
        <w:tc>
          <w:tcPr>
            <w:tcW w:type="dxa" w:w="32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18"/>
                <w:szCs w:val="18"/>
              </w:rPr>
              <w:t xml:space="preserve">Any use involving client data, PII, financial calculations, external-facing content, or new AI tool adoption</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left"/>
            </w:pPr>
            <w:r>
              <w:rPr>
                <w:rFonts w:ascii="Arial" w:cs="Arial" w:eastAsia="Arial" w:hAnsi="Arial"/>
                <w:b/>
                <w:bCs/>
                <w:i w:val="false"/>
                <w:iCs w:val="false"/>
                <w:color w:val="1F2937"/>
                <w:sz w:val="18"/>
                <w:szCs w:val="18"/>
              </w:rPr>
              <w:t xml:space="preserve">Never in Scope</w:t>
            </w:r>
          </w:p>
        </w:tc>
        <w:tc>
          <w:tcPr>
            <w:tcW w:type="dxa" w:w="3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18"/>
                <w:szCs w:val="18"/>
              </w:rPr>
              <w:t xml:space="preserve">Employee must not use AI for these tasks regardless of skill level</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18"/>
                <w:szCs w:val="18"/>
              </w:rPr>
              <w:t xml:space="preserve">Autonomous decisions on individuals, regulatory filings without human review, unsupervised agent deployment</w:t>
            </w:r>
          </w:p>
        </w:tc>
      </w:tr>
    </w:tbl>
    <w:p>
      <w:pPr>
        <w:spacing w:after="80"/>
      </w:pPr>
    </w:p>
    <w:p>
      <w:pPr>
        <w:pStyle w:val="Heading2"/>
        <w:spacing w:before="260" w:after="140"/>
      </w:pPr>
      <w:r>
        <w:rPr>
          <w:rFonts w:ascii="Arial" w:cs="Arial" w:eastAsia="Arial" w:hAnsi="Arial"/>
          <w:b/>
          <w:bCs/>
          <w:color w:val="1F2937"/>
          <w:sz w:val="22"/>
          <w:szCs w:val="22"/>
        </w:rPr>
        <w:t xml:space="preserve">7.2 Scaling Decision Rights by Role Tier</w:t>
      </w:r>
    </w:p>
    <w:p>
      <w:pPr>
        <w:spacing w:after="100"/>
      </w:pPr>
      <w:r>
        <w:rPr>
          <w:rFonts w:ascii="Arial" w:cs="Arial" w:eastAsia="Arial" w:hAnsi="Arial"/>
          <w:color w:val="4B5563"/>
          <w:sz w:val="20"/>
          <w:szCs w:val="20"/>
        </w:rPr>
        <w:t xml:space="preserve">Decision rights expand with competency and governance training:</w:t>
      </w:r>
    </w:p>
    <w:p>
      <w:pPr>
        <w:spacing w:after="60"/>
        <w:ind w:left="360"/>
      </w:pPr>
      <w:r>
        <w:rPr>
          <w:rFonts w:ascii="Arial" w:cs="Arial" w:eastAsia="Arial" w:hAnsi="Arial"/>
          <w:color w:val="4B5563"/>
          <w:sz w:val="20"/>
          <w:szCs w:val="20"/>
        </w:rPr>
        <w:t xml:space="preserve">• AI Citizen (all employees): Authorized for approved productivity tools with standard guardrails</w:t>
      </w:r>
    </w:p>
    <w:p>
      <w:pPr>
        <w:spacing w:after="60"/>
        <w:ind w:left="360"/>
      </w:pPr>
      <w:r>
        <w:rPr>
          <w:rFonts w:ascii="Arial" w:cs="Arial" w:eastAsia="Arial" w:hAnsi="Arial"/>
          <w:color w:val="4B5563"/>
          <w:sz w:val="20"/>
          <w:szCs w:val="20"/>
        </w:rPr>
        <w:t xml:space="preserve">• AI Worker (functional practitioners): Extended authorization for domain-specific AI use with validation protocols</w:t>
      </w:r>
    </w:p>
    <w:p>
      <w:pPr>
        <w:spacing w:after="60"/>
        <w:ind w:left="360"/>
      </w:pPr>
      <w:r>
        <w:rPr>
          <w:rFonts w:ascii="Arial" w:cs="Arial" w:eastAsia="Arial" w:hAnsi="Arial"/>
          <w:color w:val="4B5563"/>
          <w:sz w:val="20"/>
          <w:szCs w:val="20"/>
        </w:rPr>
        <w:t xml:space="preserve">• AI Professional (builders/deployers): Authorized to develop and deploy AI within governance framework. Requires Champion certification for Medium-risk approvals.</w:t>
      </w:r>
    </w:p>
    <w:p>
      <w:pPr>
        <w:spacing w:after="60"/>
        <w:ind w:left="360"/>
      </w:pPr>
      <w:r>
        <w:rPr>
          <w:rFonts w:ascii="Arial" w:cs="Arial" w:eastAsia="Arial" w:hAnsi="Arial"/>
          <w:color w:val="4B5563"/>
          <w:sz w:val="20"/>
          <w:szCs w:val="20"/>
        </w:rPr>
        <w:t xml:space="preserve">• AI Leader (executive): Full decision authority within governance framework. Approves Strategic Lane deployments.</w:t>
      </w:r>
    </w:p>
    <w:p>
      <w:r>
        <w:br w:type="page"/>
      </w:r>
    </w:p>
    <w:p>
      <w:pPr>
        <w:pStyle w:val="Heading1"/>
        <w:spacing w:before="360" w:after="180"/>
      </w:pPr>
      <w:r>
        <w:rPr>
          <w:rFonts w:ascii="Arial" w:cs="Arial" w:eastAsia="Arial" w:hAnsi="Arial"/>
          <w:b/>
          <w:bCs/>
          <w:color w:val="1F2937"/>
          <w:sz w:val="28"/>
          <w:szCs w:val="28"/>
        </w:rPr>
        <w:t xml:space="preserve">8. Value Measurement</w:t>
      </w:r>
    </w:p>
    <w:p>
      <w:pPr>
        <w:spacing w:after="100"/>
      </w:pPr>
      <w:r>
        <w:rPr>
          <w:rFonts w:ascii="Arial" w:cs="Arial" w:eastAsia="Arial" w:hAnsi="Arial"/>
          <w:color w:val="4B5563"/>
          <w:sz w:val="20"/>
          <w:szCs w:val="20"/>
        </w:rPr>
        <w:t xml:space="preserve">Governance is only sustainable if the organization can demonstrate that AI investments are delivering business value. The Value Realization Tracker connects AI deployments to measurable business outcomes.</w:t>
      </w:r>
    </w:p>
    <w:p>
      <w:pPr>
        <w:spacing w:after="60"/>
      </w:pPr>
    </w:p>
    <w:p>
      <w:pPr>
        <w:pStyle w:val="Heading2"/>
        <w:spacing w:before="260" w:after="140"/>
      </w:pPr>
      <w:r>
        <w:rPr>
          <w:rFonts w:ascii="Arial" w:cs="Arial" w:eastAsia="Arial" w:hAnsi="Arial"/>
          <w:b/>
          <w:bCs/>
          <w:color w:val="1F2937"/>
          <w:sz w:val="22"/>
          <w:szCs w:val="22"/>
        </w:rPr>
        <w:t xml:space="preserve">8.1 What to Measure</w:t>
      </w:r>
    </w:p>
    <w:p>
      <w:pPr>
        <w:spacing w:after="100"/>
      </w:pPr>
      <w:r>
        <w:rPr>
          <w:rFonts w:ascii="Arial" w:cs="Arial" w:eastAsia="Arial" w:hAnsi="Arial"/>
          <w:color w:val="4B5563"/>
          <w:sz w:val="20"/>
          <w:szCs w:val="20"/>
        </w:rPr>
        <w:t xml:space="preserve">For each AI system in the Standard or Strategic lane, track:</w:t>
      </w:r>
    </w:p>
    <w:p>
      <w:pPr>
        <w:spacing w:after="60"/>
        <w:ind w:left="360"/>
      </w:pPr>
      <w:r>
        <w:rPr>
          <w:rFonts w:ascii="Arial" w:cs="Arial" w:eastAsia="Arial" w:hAnsi="Arial"/>
          <w:color w:val="4B5563"/>
          <w:sz w:val="20"/>
          <w:szCs w:val="20"/>
        </w:rPr>
        <w:t xml:space="preserve">• Business outcome metric: The specific KPI this system was deployed to improve (cycle time, error rate, revenue, cost)</w:t>
      </w:r>
    </w:p>
    <w:p>
      <w:pPr>
        <w:spacing w:after="60"/>
        <w:ind w:left="360"/>
      </w:pPr>
      <w:r>
        <w:rPr>
          <w:rFonts w:ascii="Arial" w:cs="Arial" w:eastAsia="Arial" w:hAnsi="Arial"/>
          <w:color w:val="4B5563"/>
          <w:sz w:val="20"/>
          <w:szCs w:val="20"/>
        </w:rPr>
        <w:t xml:space="preserve">• Baseline: The pre-deployment measurement of that KPI</w:t>
      </w:r>
    </w:p>
    <w:p>
      <w:pPr>
        <w:spacing w:after="60"/>
        <w:ind w:left="360"/>
      </w:pPr>
      <w:r>
        <w:rPr>
          <w:rFonts w:ascii="Arial" w:cs="Arial" w:eastAsia="Arial" w:hAnsi="Arial"/>
          <w:color w:val="4B5563"/>
          <w:sz w:val="20"/>
          <w:szCs w:val="20"/>
        </w:rPr>
        <w:t xml:space="preserve">• Target: The projected improvement established at Gate 1 (the value hypothesis)</w:t>
      </w:r>
    </w:p>
    <w:p>
      <w:pPr>
        <w:spacing w:after="60"/>
        <w:ind w:left="360"/>
      </w:pPr>
      <w:r>
        <w:rPr>
          <w:rFonts w:ascii="Arial" w:cs="Arial" w:eastAsia="Arial" w:hAnsi="Arial"/>
          <w:color w:val="4B5563"/>
          <w:sz w:val="20"/>
          <w:szCs w:val="20"/>
        </w:rPr>
        <w:t xml:space="preserve">• Actual: The measured result at 30, 60, and 90 days post-deployment</w:t>
      </w:r>
    </w:p>
    <w:p>
      <w:pPr>
        <w:spacing w:after="60"/>
        <w:ind w:left="360"/>
      </w:pPr>
      <w:r>
        <w:rPr>
          <w:rFonts w:ascii="Arial" w:cs="Arial" w:eastAsia="Arial" w:hAnsi="Arial"/>
          <w:color w:val="4B5563"/>
          <w:sz w:val="20"/>
          <w:szCs w:val="20"/>
        </w:rPr>
        <w:t xml:space="preserve">• Cost: Total cost of ownership (development, infrastructure, licensing, governance overhead)</w:t>
      </w:r>
    </w:p>
    <w:p>
      <w:pPr>
        <w:spacing w:after="60"/>
        <w:ind w:left="360"/>
      </w:pPr>
      <w:r>
        <w:rPr>
          <w:rFonts w:ascii="Arial" w:cs="Arial" w:eastAsia="Arial" w:hAnsi="Arial"/>
          <w:color w:val="4B5563"/>
          <w:sz w:val="20"/>
          <w:szCs w:val="20"/>
        </w:rPr>
        <w:t xml:space="preserve">• ROI calculation: (Business outcome value - Total cost) / Total cost</w:t>
      </w:r>
    </w:p>
    <w:p>
      <w:pPr>
        <w:spacing w:after="40"/>
      </w:pPr>
    </w:p>
    <w:p>
      <w:pPr>
        <w:pStyle w:val="Heading2"/>
        <w:spacing w:before="260" w:after="140"/>
      </w:pPr>
      <w:r>
        <w:rPr>
          <w:rFonts w:ascii="Arial" w:cs="Arial" w:eastAsia="Arial" w:hAnsi="Arial"/>
          <w:b/>
          <w:bCs/>
          <w:color w:val="1F2937"/>
          <w:sz w:val="22"/>
          <w:szCs w:val="22"/>
        </w:rPr>
        <w:t xml:space="preserve">8.2 Reporting Cadence</w:t>
      </w:r>
    </w:p>
    <w:p>
      <w:pPr>
        <w:spacing w:after="60"/>
        <w:ind w:left="360"/>
      </w:pPr>
      <w:r>
        <w:rPr>
          <w:rFonts w:ascii="Arial" w:cs="Arial" w:eastAsia="Arial" w:hAnsi="Arial"/>
          <w:color w:val="4B5563"/>
          <w:sz w:val="20"/>
          <w:szCs w:val="20"/>
        </w:rPr>
        <w:t xml:space="preserve">• Monthly: AI Program Lead reviews the Value Tracker for all active systems</w:t>
      </w:r>
    </w:p>
    <w:p>
      <w:pPr>
        <w:spacing w:after="60"/>
        <w:ind w:left="360"/>
      </w:pPr>
      <w:r>
        <w:rPr>
          <w:rFonts w:ascii="Arial" w:cs="Arial" w:eastAsia="Arial" w:hAnsi="Arial"/>
          <w:color w:val="4B5563"/>
          <w:sz w:val="20"/>
          <w:szCs w:val="20"/>
        </w:rPr>
        <w:t xml:space="preserve">• Quarterly: Executive briefing includes value realization summary alongside risk posture report</w:t>
      </w:r>
    </w:p>
    <w:p>
      <w:pPr>
        <w:spacing w:after="60"/>
        <w:ind w:left="360"/>
      </w:pPr>
      <w:r>
        <w:rPr>
          <w:rFonts w:ascii="Arial" w:cs="Arial" w:eastAsia="Arial" w:hAnsi="Arial"/>
          <w:color w:val="4B5563"/>
          <w:sz w:val="20"/>
          <w:szCs w:val="20"/>
        </w:rPr>
        <w:t xml:space="preserve">• Annually: Full portfolio ROI analysis to inform next year’s AI investment priorities</w:t>
      </w:r>
    </w:p>
    <w:p>
      <w:pPr>
        <w:spacing w:after="40"/>
      </w:pPr>
    </w:p>
    <w:p>
      <w:pPr>
        <w:pStyle w:val="Heading2"/>
        <w:spacing w:before="260" w:after="140"/>
      </w:pPr>
      <w:r>
        <w:rPr>
          <w:rFonts w:ascii="Arial" w:cs="Arial" w:eastAsia="Arial" w:hAnsi="Arial"/>
          <w:b/>
          <w:bCs/>
          <w:color w:val="1F2937"/>
          <w:sz w:val="22"/>
          <w:szCs w:val="22"/>
        </w:rPr>
        <w:t xml:space="preserve">8.3 When Value Isn’t Materializing</w:t>
      </w:r>
    </w:p>
    <w:p>
      <w:pPr>
        <w:spacing w:after="100"/>
      </w:pPr>
      <w:r>
        <w:rPr>
          <w:rFonts w:ascii="Arial" w:cs="Arial" w:eastAsia="Arial" w:hAnsi="Arial"/>
          <w:color w:val="4B5563"/>
          <w:sz w:val="20"/>
          <w:szCs w:val="20"/>
        </w:rPr>
        <w:t xml:space="preserve">If a system is not delivering against its value hypothesis at the 90-day review (Gate 3):</w:t>
      </w:r>
    </w:p>
    <w:p>
      <w:pPr>
        <w:spacing w:after="60"/>
        <w:ind w:left="360"/>
      </w:pPr>
      <w:r>
        <w:rPr>
          <w:rFonts w:ascii="Arial" w:cs="Arial" w:eastAsia="Arial" w:hAnsi="Arial"/>
          <w:color w:val="4B5563"/>
          <w:sz w:val="20"/>
          <w:szCs w:val="20"/>
        </w:rPr>
        <w:t xml:space="preserve">• Diagnose: Is the problem adoption (people aren’t using it), performance (the AI isn’t accurate enough), or measurement (the wrong metric was chosen)?</w:t>
      </w:r>
    </w:p>
    <w:p>
      <w:pPr>
        <w:spacing w:after="60"/>
        <w:ind w:left="360"/>
      </w:pPr>
      <w:r>
        <w:rPr>
          <w:rFonts w:ascii="Arial" w:cs="Arial" w:eastAsia="Arial" w:hAnsi="Arial"/>
          <w:color w:val="4B5563"/>
          <w:sz w:val="20"/>
          <w:szCs w:val="20"/>
        </w:rPr>
        <w:t xml:space="preserve">• Adjust: Modify the system, the adoption support, or the success criteria based on the diagnosis</w:t>
      </w:r>
    </w:p>
    <w:p>
      <w:pPr>
        <w:spacing w:after="60"/>
        <w:ind w:left="360"/>
      </w:pPr>
      <w:r>
        <w:rPr>
          <w:rFonts w:ascii="Arial" w:cs="Arial" w:eastAsia="Arial" w:hAnsi="Arial"/>
          <w:color w:val="4B5563"/>
          <w:sz w:val="20"/>
          <w:szCs w:val="20"/>
        </w:rPr>
        <w:t xml:space="preserve">• Retire: If the value hypothesis is fundamentally invalid, retire the system with documented rationale. This is not failure — it is governance working as designed.</w:t>
      </w:r>
    </w:p>
    <w:p>
      <w:pPr>
        <w:spacing w:after="200"/>
      </w:pPr>
    </w:p>
    <w:p>
      <w:pPr>
        <w:pBdr>
          <w:top w:val="single" w:color="2563EB" w:sz="2" w:space="8"/>
        </w:pBdr>
        <w:spacing w:after="200"/>
      </w:pPr>
    </w:p>
    <w:p>
      <w:pPr>
        <w:spacing w:after="100"/>
      </w:pPr>
      <w:r>
        <w:rPr>
          <w:rFonts w:ascii="Arial" w:cs="Arial" w:eastAsia="Arial" w:hAnsi="Arial"/>
          <w:i/>
          <w:iCs/>
          <w:color w:val="9CA3AF"/>
          <w:sz w:val="20"/>
          <w:szCs w:val="20"/>
        </w:rPr>
        <w:t xml:space="preserve">This reference guide is part of the Governance-in-a-Box toolkit by Creative Precision. For the operational templates, see the Templates folder. For the quick-start onboarding path, see the START HERE guide.</w:t>
      </w:r>
    </w:p>
    <w:p>
      <w:pPr>
        <w:spacing w:after="100"/>
      </w:pPr>
      <w:r>
        <w:rPr>
          <w:rFonts w:ascii="Arial" w:cs="Arial" w:eastAsia="Arial" w:hAnsi="Arial"/>
          <w:color w:val="9CA3AF"/>
          <w:sz w:val="20"/>
          <w:szCs w:val="20"/>
        </w:rPr>
        <w:t xml:space="preserve">© 2026 Gordon Chan / Creative Precision. All rights reserved.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CA3AF"/>
        <w:sz w:val="14"/>
        <w:szCs w:val="14"/>
      </w:rPr>
      <w:t xml:space="preserve">© 2026 Gordon Chan / Creative Precision  |  Page </w:t>
    </w:r>
    <w:r>
      <w:rPr>
        <w:rFonts w:ascii="Arial" w:cs="Arial" w:eastAsia="Arial" w:hAnsi="Arial"/>
        <w:color w:val="9CA3AF"/>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CA3AF"/>
        <w:sz w:val="14"/>
        <w:szCs w:val="14"/>
      </w:rPr>
      <w:t xml:space="preserve">Creative Precision  |  Governance Reference Guide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2937"/>
      <w:sz w:val="28"/>
      <w:szCs w:val="28"/>
    </w:rPr>
  </w:style>
  <w:style w:type="paragraph" w:styleId="Heading2">
    <w:name w:val="Heading 2"/>
    <w:basedOn w:val="Normal"/>
    <w:next w:val="Normal"/>
    <w:qFormat/>
    <w:pPr>
      <w:spacing w:before="260" w:after="140"/>
      <w:outlineLvl w:val="1"/>
    </w:pPr>
    <w:rPr>
      <w:rFonts w:ascii="Arial" w:cs="Arial" w:eastAsia="Arial" w:hAnsi="Arial"/>
      <w:b/>
      <w:bCs/>
      <w:color w:val="1F293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2026-02-25T13:17:12.544Z</dcterms:created>
  <dcterms:modified xsi:type="dcterms:W3CDTF">2026-02-25T13:17:12.545Z</dcterms:modified>
</cp:coreProperties>
</file>

<file path=docProps/custom.xml><?xml version="1.0" encoding="utf-8"?>
<Properties xmlns="http://schemas.openxmlformats.org/officeDocument/2006/custom-properties" xmlns:vt="http://schemas.openxmlformats.org/officeDocument/2006/docPropsVTypes"/>
</file>