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A1A2E"/>
          <w:sz w:val="44"/>
          <w:szCs w:val="44"/>
        </w:rPr>
        <w:t xml:space="preserve">PERSONA &amp; PUBLIC VOICE</w:t>
      </w:r>
    </w:p>
    <w:p>
      <w:pPr>
        <w:spacing w:after="120"/>
        <w:jc w:val="center"/>
      </w:pPr>
      <w:r>
        <w:rPr>
          <w:color w:val="2D5F8A"/>
          <w:sz w:val="28"/>
          <w:szCs w:val="28"/>
        </w:rPr>
        <w:t xml:space="preserve">Version 3.0</w:t>
      </w:r>
    </w:p>
    <w:p>
      <w:pPr>
        <w:spacing w:after="120"/>
        <w:jc w:val="center"/>
      </w:pPr>
      <w:r>
        <w:rPr>
          <w:color w:val="555555"/>
          <w:sz w:val="24"/>
          <w:szCs w:val="24"/>
        </w:rPr>
        <w:t xml:space="preserve">Gordon Chan</w:t>
      </w:r>
    </w:p>
    <w:p>
      <w:pPr>
        <w:spacing w:after="600"/>
        <w:jc w:val="center"/>
      </w:pPr>
      <w:r>
        <w:rPr>
          <w:color w:val="555555"/>
          <w:sz w:val="24"/>
          <w:szCs w:val="24"/>
        </w:rPr>
        <w:t xml:space="preserve">February 2026</w:t>
      </w:r>
    </w:p>
    <w:p>
      <w:pPr>
        <w:spacing w:after="200"/>
        <w:jc w:val="center"/>
      </w:pPr>
      <w:r>
        <w:rPr>
          <w:i/>
          <w:iCs/>
          <w:color w:val="2D5F8A"/>
          <w:sz w:val="32"/>
          <w:szCs w:val="32"/>
        </w:rPr>
        <w:t xml:space="preserve">Creative Precision</w:t>
      </w:r>
    </w:p>
    <w:p>
      <w:pPr>
        <w:jc w:val="center"/>
      </w:pPr>
      <w:r>
        <w:rPr>
          <w:i/>
          <w:iCs/>
          <w:color w:val="555555"/>
          <w:sz w:val="22"/>
          <w:szCs w:val="22"/>
        </w:rPr>
        <w:t xml:space="preserve">The discipline of channeling AI’s creativity into precise business outcomes.</w:t>
      </w:r>
    </w:p>
    <w:p>
      <w:r>
        <w:br w:type="page"/>
      </w:r>
    </w:p>
    <w:p>
      <w:pPr>
        <w:pStyle w:val="Heading1"/>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Jan 2026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Initial persona framework. Thesis, identity statement, origin story, voice guidelines.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Feb 2026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Refined thesis and identity. Added Accelerated Constraint methodology, signature phrases, design principles.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Feb 2026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Major revision. Methodology renamed to Creative Precision. Rewrote thesis, identity statement, origin story, and all signature phrases. Added audience definition with market research. Removed consultant posture. Established Quiet Expert archetype.</w:t>
            </w:r>
          </w:p>
        </w:tc>
      </w:tr>
    </w:tbl>
    <w:p>
      <w:pPr>
        <w:spacing w:before="200"/>
      </w:pPr>
    </w:p>
    <w:p>
      <w:pPr>
        <w:pStyle w:val="Heading1"/>
      </w:pPr>
      <w:r>
        <w:t xml:space="preserve">Document Purpose</w:t>
      </w:r>
    </w:p>
    <w:p>
      <w:pPr>
        <w:spacing w:after="200"/>
      </w:pPr>
      <w:r>
        <w:t xml:space="preserve">This document defines Gordon Chan’s professional persona, public voice, and strategic positioning. It serves as the single source of truth for all public-facing content, outreach, and professional communications. Every piece of content—LinkedIn posts, speaking engagements, networking conversations, product positioning—should be traceable back to the elements defined here.</w:t>
      </w:r>
    </w:p>
    <w:p>
      <w:r>
        <w:br w:type="page"/>
      </w:r>
    </w:p>
    <w:p>
      <w:pPr>
        <w:pStyle w:val="Heading1"/>
      </w:pPr>
      <w:r>
        <w:t xml:space="preserve">1. Thesis</w:t>
      </w:r>
    </w:p>
    <w:p>
      <w:pPr>
        <w:spacing w:after="120"/>
      </w:pPr>
      <w:r>
        <w:rPr>
          <w:i/>
          <w:iCs/>
          <w:color w:val="555555"/>
        </w:rPr>
        <w:t xml:space="preserve">The core argument. Everything else derives from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A" w:sz="1"/>
              <w:left w:val="single" w:color="2D5F8A" w:sz="6"/>
              <w:bottom w:val="single" w:color="2D5F8A" w:sz="1"/>
              <w:right w:val="single" w:color="2D5F8A" w:sz="1"/>
            </w:tcBorders>
            <w:shd w:fill="F0F4F8" w:val="clear"/>
            <w:tcMar>
              <w:top w:type="dxa" w:w="160"/>
              <w:left w:type="dxa" w:w="240"/>
              <w:bottom w:type="dxa" w:w="160"/>
              <w:right w:type="dxa" w:w="240"/>
            </w:tcMar>
          </w:tcPr>
          <w:p>
            <w:pPr>
              <w:spacing w:after="100"/>
            </w:pPr>
            <w:r>
              <w:rPr>
                <w:i/>
                <w:iCs/>
                <w:color w:val="1A1A2E"/>
                <w:sz w:val="22"/>
                <w:szCs w:val="22"/>
              </w:rPr>
              <w:t xml:space="preserve">Stop automating the old. Start designing the new.</w:t>
            </w:r>
          </w:p>
          <w:p>
            <w:pPr>
              <w:spacing w:after="60"/>
            </w:pPr>
          </w:p>
          <w:p>
            <w:pPr>
              <w:spacing w:after="0"/>
            </w:pPr>
            <w:r>
              <w:rPr>
                <w:i/>
                <w:iCs/>
                <w:color w:val="1A1A2E"/>
                <w:sz w:val="22"/>
                <w:szCs w:val="22"/>
              </w:rPr>
              <w:t xml:space="preserve">AI’s most powerful capability isn’t efficiency — it’s creativity. Humans set the direction and hold the final call. AI explores what’s possible in between. The right framework channels it from ideation to realization.</w:t>
            </w:r>
          </w:p>
        </w:tc>
      </w:tr>
    </w:tbl>
    <w:p>
      <w:pPr>
        <w:spacing w:before="200" w:after="200"/>
      </w:pPr>
    </w:p>
    <w:p>
      <w:pPr>
        <w:pStyle w:val="Heading1"/>
      </w:pPr>
      <w:r>
        <w:t xml:space="preserve">2. Identity Statement</w:t>
      </w:r>
    </w:p>
    <w:p>
      <w:pPr>
        <w:spacing w:after="120"/>
      </w:pPr>
      <w:r>
        <w:rPr>
          <w:i/>
          <w:iCs/>
          <w:color w:val="555555"/>
        </w:rPr>
        <w:t xml:space="preserve">The thesis applied to positioning. How the thesis becomes a professional 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A" w:sz="1"/>
              <w:left w:val="single" w:color="2D5F8A" w:sz="6"/>
              <w:bottom w:val="single" w:color="2D5F8A" w:sz="1"/>
              <w:right w:val="single" w:color="2D5F8A" w:sz="1"/>
            </w:tcBorders>
            <w:shd w:fill="F0F4F8" w:val="clear"/>
            <w:tcMar>
              <w:top w:type="dxa" w:w="160"/>
              <w:left w:type="dxa" w:w="240"/>
              <w:bottom w:type="dxa" w:w="160"/>
              <w:right w:type="dxa" w:w="240"/>
            </w:tcMar>
          </w:tcPr>
          <w:p>
            <w:pPr>
              <w:spacing w:after="0"/>
            </w:pPr>
            <w:r>
              <w:rPr>
                <w:i/>
                <w:iCs/>
                <w:color w:val="1A1A2E"/>
                <w:sz w:val="22"/>
                <w:szCs w:val="22"/>
              </w:rPr>
              <w:t xml:space="preserve">Most companies are spending millions teaching AI to follow their old playbook. That’s backwards — AI doesn’t need your legacy process, it needs your direction. The real work is designing frameworks that channel AI’s creative power — so instead of replicating what exists, we’re building what’s next. From ideation to realization.</w:t>
            </w:r>
          </w:p>
        </w:tc>
      </w:tr>
    </w:tbl>
    <w:p>
      <w:pPr>
        <w:spacing w:before="200" w:after="200"/>
      </w:pPr>
    </w:p>
    <w:p>
      <w:pPr>
        <w:pStyle w:val="Heading1"/>
      </w:pPr>
      <w:r>
        <w:t xml:space="preserve">3. Persona Description</w:t>
      </w:r>
    </w:p>
    <w:p>
      <w:pPr>
        <w:spacing w:after="120"/>
      </w:pPr>
      <w:r>
        <w:rPr>
          <w:i/>
          <w:iCs/>
          <w:color w:val="555555"/>
        </w:rPr>
        <w:t xml:space="preserve">The one-line answer to “What do you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A" w:sz="1"/>
              <w:left w:val="single" w:color="2D5F8A" w:sz="6"/>
              <w:bottom w:val="single" w:color="2D5F8A" w:sz="1"/>
              <w:right w:val="single" w:color="2D5F8A" w:sz="1"/>
            </w:tcBorders>
            <w:shd w:fill="F0F4F8" w:val="clear"/>
            <w:tcMar>
              <w:top w:type="dxa" w:w="160"/>
              <w:left w:type="dxa" w:w="240"/>
              <w:bottom w:type="dxa" w:w="160"/>
              <w:right w:type="dxa" w:w="240"/>
            </w:tcMar>
          </w:tcPr>
          <w:p>
            <w:pPr>
              <w:spacing w:after="0"/>
            </w:pPr>
            <w:r>
              <w:rPr>
                <w:i/>
                <w:iCs/>
                <w:color w:val="1A1A2E"/>
                <w:sz w:val="22"/>
                <w:szCs w:val="22"/>
              </w:rPr>
              <w:t xml:space="preserve">An AI leader who builds the strategic and operating frameworks that channel AI’s creative power from ideation to realization.</w:t>
            </w:r>
          </w:p>
        </w:tc>
      </w:tr>
    </w:tbl>
    <w:p>
      <w:pPr>
        <w:spacing w:before="200" w:after="200"/>
      </w:pPr>
    </w:p>
    <w:p>
      <w:r>
        <w:br w:type="page"/>
      </w:r>
    </w:p>
    <w:p>
      <w:pPr>
        <w:pStyle w:val="Heading1"/>
      </w:pPr>
      <w:r>
        <w:t xml:space="preserve">4. Origin Story</w:t>
      </w:r>
    </w:p>
    <w:p>
      <w:pPr>
        <w:spacing w:after="120"/>
      </w:pPr>
      <w:r>
        <w:rPr>
          <w:i/>
          <w:iCs/>
          <w:color w:val="555555"/>
        </w:rPr>
        <w:t xml:space="preserve">The conversational version of the thesis. Used in networking, interviews, and long-form content. Written to be spoken, not read.</w:t>
      </w:r>
    </w:p>
    <w:p>
      <w:pPr>
        <w:spacing w:after="200"/>
      </w:pPr>
      <w:r>
        <w:t xml:space="preserve">Have you noticed that most companies using AI are spending millions to optimize what exists instead of rethinking what should? Bolt AI onto the old playbook and expect transformation.</w:t>
      </w:r>
    </w:p>
    <w:p>
      <w:pPr>
        <w:spacing w:after="200"/>
      </w:pPr>
      <w:r>
        <w:t xml:space="preserve">The question is why so much of it fails. And the problem isn’t the technology. It’s that the goals, the expectations, the way we measure success — they’re all built on old assumptions. Next-generation capability pointed at last-generation thinking.</w:t>
      </w:r>
    </w:p>
    <w:p>
      <w:pPr>
        <w:spacing w:after="200"/>
      </w:pPr>
      <w:r>
        <w:t xml:space="preserve">AI’s most powerful capability isn’t efficiency — it’s creativity. It can reason, explore, and redesign. But only if we stop pointing it at yesterday’s problems and start giving it tomorrow’s goals. Humans set the direction and hold the final call. AI explores what’s possible in between. The right framework channels it from ideation to realization.</w:t>
      </w:r>
    </w:p>
    <w:p>
      <w:pPr>
        <w:spacing w:after="200"/>
      </w:pPr>
      <w:r>
        <w:t xml:space="preserve">That’s the work — building the frameworks that make that real. Curious if you’re seeing the same thing.</w:t>
      </w:r>
    </w:p>
    <w:p>
      <w:r>
        <w:br w:type="page"/>
      </w:r>
    </w:p>
    <w:p>
      <w:pPr>
        <w:pStyle w:val="Heading1"/>
      </w:pPr>
      <w:r>
        <w:t xml:space="preserve">5. Methodology: Creative Precision</w:t>
      </w:r>
    </w:p>
    <w:p>
      <w:pPr>
        <w:spacing w:after="120"/>
      </w:pPr>
      <w:r>
        <w:rPr>
          <w:i/>
          <w:iCs/>
          <w:color w:val="555555"/>
        </w:rPr>
        <w:t xml:space="preserve">The named approach. Kept conceptual until battle-tested through real engagements.</w:t>
      </w:r>
    </w:p>
    <w:p>
      <w:pPr>
        <w:pStyle w:val="Heading2"/>
      </w:pPr>
      <w:r>
        <w:t xml:space="preserve">One-Liner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A" w:sz="1"/>
              <w:left w:val="single" w:color="2D5F8A" w:sz="6"/>
              <w:bottom w:val="single" w:color="2D5F8A" w:sz="1"/>
              <w:right w:val="single" w:color="2D5F8A" w:sz="1"/>
            </w:tcBorders>
            <w:shd w:fill="F0F4F8" w:val="clear"/>
            <w:tcMar>
              <w:top w:type="dxa" w:w="160"/>
              <w:left w:type="dxa" w:w="240"/>
              <w:bottom w:type="dxa" w:w="160"/>
              <w:right w:type="dxa" w:w="240"/>
            </w:tcMar>
          </w:tcPr>
          <w:p>
            <w:pPr>
              <w:spacing w:after="0"/>
            </w:pPr>
            <w:r>
              <w:rPr>
                <w:i/>
                <w:iCs/>
                <w:color w:val="1A1A2E"/>
                <w:sz w:val="22"/>
                <w:szCs w:val="22"/>
              </w:rPr>
              <w:t xml:space="preserve">Creative Precision: the discipline of channeling AI’s creativity into precise business outcomes.</w:t>
            </w:r>
          </w:p>
        </w:tc>
      </w:tr>
    </w:tbl>
    <w:p>
      <w:pPr>
        <w:spacing w:before="200"/>
      </w:pPr>
    </w:p>
    <w:p>
      <w:pPr>
        <w:pStyle w:val="Heading2"/>
      </w:pPr>
      <w:r>
        <w:t xml:space="preserve">Full Definition</w:t>
      </w:r>
    </w:p>
    <w:p>
      <w:pPr>
        <w:spacing w:after="200"/>
      </w:pPr>
      <w:r>
        <w:t xml:space="preserve">Creative Precision is a methodology for channeling AI’s creative power into business outcomes. AI shouldn’t replicate old processes — it should help redesign them. Humans define the goals and hold the final call. AI explores what’s possible within those boundaries. Strategic and operating frameworks turn that exploration into production reality.</w:t>
      </w:r>
    </w:p>
    <w:p>
      <w:pPr>
        <w:pStyle w:val="Heading2"/>
      </w:pPr>
      <w:r>
        <w:t xml:space="preserve">Status</w:t>
      </w:r>
    </w:p>
    <w:p>
      <w:pPr>
        <w:spacing w:after="200"/>
      </w:pPr>
      <w:r>
        <w:t xml:space="preserve">Conceptual. The label and definition are locked. Formal steps, phases, or a codified process will be developed after the methodology is validated through real client engagements. This is deliberate — no unresearched claims.</w:t>
      </w:r>
    </w:p>
    <w:p>
      <w:r>
        <w:br w:type="page"/>
      </w:r>
    </w:p>
    <w:p>
      <w:pPr>
        <w:pStyle w:val="Heading1"/>
      </w:pPr>
      <w:r>
        <w:t xml:space="preserve">6. Signature Phrases</w:t>
      </w:r>
    </w:p>
    <w:p>
      <w:pPr>
        <w:spacing w:after="120"/>
      </w:pPr>
      <w:r>
        <w:rPr>
          <w:i/>
          <w:iCs/>
          <w:color w:val="555555"/>
        </w:rPr>
        <w:t xml:space="preserve">The vocabulary. Phrases that reinforce the thesis across different contexts.</w:t>
      </w:r>
    </w:p>
    <w:p>
      <w:pPr>
        <w:spacing w:after="40"/>
      </w:pPr>
      <w:r>
        <w:rPr>
          <w:b/>
          <w:bCs/>
          <w:color w:val="2D5F8A"/>
        </w:rPr>
        <w:t xml:space="preserve">1. </w:t>
      </w:r>
      <w:r>
        <w:rPr>
          <w:b/>
          <w:bCs/>
        </w:rPr>
        <w:t xml:space="preserve">“Stop automating the old. Start designing the new.”</w:t>
      </w:r>
    </w:p>
    <w:p>
      <w:pPr>
        <w:spacing w:after="160"/>
        <w:ind w:left="360"/>
      </w:pPr>
      <w:r>
        <w:rPr>
          <w:i/>
          <w:iCs/>
          <w:color w:val="555555"/>
          <w:sz w:val="20"/>
          <w:szCs w:val="20"/>
        </w:rPr>
        <w:t xml:space="preserve">Opening hook, thesis distilled to one line.</w:t>
      </w:r>
    </w:p>
    <w:p>
      <w:pPr>
        <w:spacing w:after="40"/>
      </w:pPr>
      <w:r>
        <w:rPr>
          <w:b/>
          <w:bCs/>
          <w:color w:val="2D5F8A"/>
        </w:rPr>
        <w:t xml:space="preserve">2. </w:t>
      </w:r>
      <w:r>
        <w:rPr>
          <w:b/>
          <w:bCs/>
        </w:rPr>
        <w:t xml:space="preserve">“AI doesn’t need your old playbook. It needs your goals.”</w:t>
      </w:r>
    </w:p>
    <w:p>
      <w:pPr>
        <w:spacing w:after="160"/>
        <w:ind w:left="360"/>
      </w:pPr>
      <w:r>
        <w:rPr>
          <w:i/>
          <w:iCs/>
          <w:color w:val="555555"/>
          <w:sz w:val="20"/>
          <w:szCs w:val="20"/>
        </w:rPr>
        <w:t xml:space="preserve">Reframe for skeptical audiences.</w:t>
      </w:r>
    </w:p>
    <w:p>
      <w:pPr>
        <w:spacing w:after="40"/>
      </w:pPr>
      <w:r>
        <w:rPr>
          <w:b/>
          <w:bCs/>
          <w:color w:val="2D5F8A"/>
        </w:rPr>
        <w:t xml:space="preserve">3. </w:t>
      </w:r>
      <w:r>
        <w:rPr>
          <w:b/>
          <w:bCs/>
        </w:rPr>
        <w:t xml:space="preserve">“Should this process exist at all?”</w:t>
      </w:r>
    </w:p>
    <w:p>
      <w:pPr>
        <w:spacing w:after="160"/>
        <w:ind w:left="360"/>
      </w:pPr>
      <w:r>
        <w:rPr>
          <w:i/>
          <w:iCs/>
          <w:color w:val="555555"/>
          <w:sz w:val="20"/>
          <w:szCs w:val="20"/>
        </w:rPr>
        <w:t xml:space="preserve">The question that separates optimization from redesign.</w:t>
      </w:r>
    </w:p>
    <w:p>
      <w:pPr>
        <w:spacing w:after="40"/>
      </w:pPr>
      <w:r>
        <w:rPr>
          <w:b/>
          <w:bCs/>
          <w:color w:val="2D5F8A"/>
        </w:rPr>
        <w:t xml:space="preserve">4. </w:t>
      </w:r>
      <w:r>
        <w:rPr>
          <w:b/>
          <w:bCs/>
        </w:rPr>
        <w:t xml:space="preserve">“The right channel turns AI creativity into business outcomes.”</w:t>
      </w:r>
    </w:p>
    <w:p>
      <w:pPr>
        <w:spacing w:after="160"/>
        <w:ind w:left="360"/>
      </w:pPr>
      <w:r>
        <w:rPr>
          <w:i/>
          <w:iCs/>
          <w:color w:val="555555"/>
          <w:sz w:val="20"/>
          <w:szCs w:val="20"/>
        </w:rPr>
        <w:t xml:space="preserve">Methodology in action.</w:t>
      </w:r>
    </w:p>
    <w:p>
      <w:pPr>
        <w:spacing w:after="40"/>
      </w:pPr>
      <w:r>
        <w:rPr>
          <w:b/>
          <w:bCs/>
          <w:color w:val="2D5F8A"/>
        </w:rPr>
        <w:t xml:space="preserve">5. </w:t>
      </w:r>
      <w:r>
        <w:rPr>
          <w:b/>
          <w:bCs/>
        </w:rPr>
        <w:t xml:space="preserve">“Creative Precision.”</w:t>
      </w:r>
    </w:p>
    <w:p>
      <w:pPr>
        <w:spacing w:after="160"/>
        <w:ind w:left="360"/>
      </w:pPr>
      <w:r>
        <w:rPr>
          <w:i/>
          <w:iCs/>
          <w:color w:val="555555"/>
          <w:sz w:val="20"/>
          <w:szCs w:val="20"/>
        </w:rPr>
        <w:t xml:space="preserve">The methodology label. Stands alone.</w:t>
      </w:r>
    </w:p>
    <w:p>
      <w:pPr>
        <w:spacing w:after="40"/>
      </w:pPr>
      <w:r>
        <w:rPr>
          <w:b/>
          <w:bCs/>
          <w:color w:val="2D5F8A"/>
        </w:rPr>
        <w:t xml:space="preserve">6. </w:t>
      </w:r>
      <w:r>
        <w:rPr>
          <w:b/>
          <w:bCs/>
        </w:rPr>
        <w:t xml:space="preserve">“The system around the algorithm.”</w:t>
      </w:r>
    </w:p>
    <w:p>
      <w:pPr>
        <w:spacing w:after="160"/>
        <w:ind w:left="360"/>
      </w:pPr>
      <w:r>
        <w:rPr>
          <w:i/>
          <w:iCs/>
          <w:color w:val="555555"/>
          <w:sz w:val="20"/>
          <w:szCs w:val="20"/>
        </w:rPr>
        <w:t xml:space="preserve">Why frameworks matter more than models.</w:t>
      </w:r>
    </w:p>
    <w:p>
      <w:pPr>
        <w:spacing w:after="40"/>
      </w:pPr>
      <w:r>
        <w:rPr>
          <w:b/>
          <w:bCs/>
          <w:color w:val="2D5F8A"/>
        </w:rPr>
        <w:t xml:space="preserve">7. </w:t>
      </w:r>
      <w:r>
        <w:rPr>
          <w:b/>
          <w:bCs/>
        </w:rPr>
        <w:t xml:space="preserve">“From ideation to realization.”</w:t>
      </w:r>
    </w:p>
    <w:p>
      <w:pPr>
        <w:spacing w:after="160"/>
        <w:ind w:left="360"/>
      </w:pPr>
      <w:r>
        <w:rPr>
          <w:i/>
          <w:iCs/>
          <w:color w:val="555555"/>
          <w:sz w:val="20"/>
          <w:szCs w:val="20"/>
        </w:rPr>
        <w:t xml:space="preserve">The journey. Use “actualization” in formal contexts.</w:t>
      </w:r>
    </w:p>
    <w:p>
      <w:pPr>
        <w:spacing w:after="40"/>
      </w:pPr>
      <w:r>
        <w:rPr>
          <w:b/>
          <w:bCs/>
          <w:color w:val="2D5F8A"/>
        </w:rPr>
        <w:t xml:space="preserve">8. </w:t>
      </w:r>
      <w:r>
        <w:rPr>
          <w:b/>
          <w:bCs/>
        </w:rPr>
        <w:t xml:space="preserve">“Step back to see forward.”</w:t>
      </w:r>
    </w:p>
    <w:p>
      <w:pPr>
        <w:spacing w:after="160"/>
        <w:ind w:left="360"/>
      </w:pPr>
      <w:r>
        <w:rPr>
          <w:i/>
          <w:iCs/>
          <w:color w:val="555555"/>
          <w:sz w:val="20"/>
          <w:szCs w:val="20"/>
        </w:rPr>
        <w:t xml:space="preserve">Strategic patience. Redesign before you build.</w:t>
      </w:r>
    </w:p>
    <w:p>
      <w:pPr>
        <w:spacing w:after="40"/>
      </w:pPr>
      <w:r>
        <w:rPr>
          <w:b/>
          <w:bCs/>
          <w:color w:val="2D5F8A"/>
        </w:rPr>
        <w:t xml:space="preserve">9. </w:t>
      </w:r>
      <w:r>
        <w:rPr>
          <w:b/>
          <w:bCs/>
        </w:rPr>
        <w:t xml:space="preserve">“AI’s most powerful capability isn’t efficiency — it’s creativity.”</w:t>
      </w:r>
    </w:p>
    <w:p>
      <w:pPr>
        <w:spacing w:after="160"/>
        <w:ind w:left="360"/>
      </w:pPr>
      <w:r>
        <w:rPr>
          <w:i/>
          <w:iCs/>
          <w:color w:val="555555"/>
          <w:sz w:val="20"/>
          <w:szCs w:val="20"/>
        </w:rPr>
        <w:t xml:space="preserve">The core reframe that drives everything.</w:t>
      </w:r>
    </w:p>
    <w:p>
      <w:pPr>
        <w:spacing w:after="40"/>
      </w:pPr>
      <w:r>
        <w:rPr>
          <w:b/>
          <w:bCs/>
          <w:color w:val="2D5F8A"/>
        </w:rPr>
        <w:t xml:space="preserve">10. </w:t>
      </w:r>
      <w:r>
        <w:rPr>
          <w:b/>
          <w:bCs/>
        </w:rPr>
        <w:t xml:space="preserve">“Curious if you’re seeing the same thing.”</w:t>
      </w:r>
    </w:p>
    <w:p>
      <w:pPr>
        <w:spacing w:after="160"/>
        <w:ind w:left="360"/>
      </w:pPr>
      <w:r>
        <w:rPr>
          <w:i/>
          <w:iCs/>
          <w:color w:val="555555"/>
          <w:sz w:val="20"/>
          <w:szCs w:val="20"/>
        </w:rPr>
        <w:t xml:space="preserve">Conversation closer. Invites dialogue, not agreement.</w:t>
      </w:r>
    </w:p>
    <w:p>
      <w:pPr>
        <w:spacing w:after="40"/>
      </w:pPr>
      <w:r>
        <w:rPr>
          <w:b/>
          <w:bCs/>
          <w:color w:val="2D5F8A"/>
        </w:rPr>
        <w:t xml:space="preserve">11. </w:t>
      </w:r>
      <w:r>
        <w:rPr>
          <w:b/>
          <w:bCs/>
        </w:rPr>
        <w:t xml:space="preserve">“Channel, not control.”</w:t>
      </w:r>
    </w:p>
    <w:p>
      <w:pPr>
        <w:spacing w:after="160"/>
        <w:ind w:left="360"/>
      </w:pPr>
      <w:r>
        <w:rPr>
          <w:i/>
          <w:iCs/>
          <w:color w:val="555555"/>
          <w:sz w:val="20"/>
          <w:szCs w:val="20"/>
        </w:rPr>
        <w:t xml:space="preserve">Governance philosophy in three words.</w:t>
      </w:r>
    </w:p>
    <w:p>
      <w:r>
        <w:br w:type="page"/>
      </w:r>
    </w:p>
    <w:p>
      <w:pPr>
        <w:pStyle w:val="Heading1"/>
      </w:pPr>
      <w:r>
        <w:t xml:space="preserve">7. Voice &amp; Archetype</w:t>
      </w:r>
    </w:p>
    <w:p>
      <w:pPr>
        <w:pStyle w:val="Heading2"/>
      </w:pPr>
      <w:r>
        <w:t xml:space="preserve">Archetype: The Quiet Expert</w:t>
      </w:r>
    </w:p>
    <w:p>
      <w:pPr>
        <w:spacing w:after="200"/>
      </w:pPr>
      <w:r>
        <w:t xml:space="preserve">The work speaks for itself. Lead with observation, not credentials. Make it about the work, not about doing the work. No consultant posture (“I help,” “I design for you”). No authority claims (“I’ve been in the rooms”). The expertise is evident in the thinking, not the introduction.</w:t>
      </w:r>
    </w:p>
    <w:p>
      <w:pPr>
        <w:pStyle w:val="Heading2"/>
      </w:pPr>
      <w:r>
        <w:t xml:space="preserve">Voice Rules</w:t>
      </w:r>
    </w:p>
    <w:p>
      <w:pPr>
        <w:pStyle w:val="ListParagraph"/>
        <w:numPr>
          <w:ilvl w:val="0"/>
          <w:numId w:val="2"/>
        </w:numPr>
        <w:spacing w:after="80"/>
      </w:pPr>
      <w:r>
        <w:rPr>
          <w:b/>
          <w:bCs/>
        </w:rPr>
        <w:t xml:space="preserve">Lead with observation, not “I.”</w:t>
      </w:r>
      <w:r>
        <w:t xml:space="preserve"> Start with what’s happening in the world, not what you’ve done.</w:t>
      </w:r>
    </w:p>
    <w:p>
      <w:pPr>
        <w:pStyle w:val="ListParagraph"/>
        <w:numPr>
          <w:ilvl w:val="0"/>
          <w:numId w:val="2"/>
        </w:numPr>
        <w:spacing w:after="80"/>
      </w:pPr>
      <w:r>
        <w:rPr>
          <w:b/>
          <w:bCs/>
        </w:rPr>
        <w:t xml:space="preserve">Collaborative, not preachy.</w:t>
      </w:r>
      <w:r>
        <w:t xml:space="preserve"> “We’re building what’s next” not “you should be building what’s next.”</w:t>
      </w:r>
    </w:p>
    <w:p>
      <w:pPr>
        <w:pStyle w:val="ListParagraph"/>
        <w:numPr>
          <w:ilvl w:val="0"/>
          <w:numId w:val="2"/>
        </w:numPr>
        <w:spacing w:after="80"/>
      </w:pPr>
      <w:r>
        <w:rPr>
          <w:b/>
          <w:bCs/>
        </w:rPr>
        <w:t xml:space="preserve">End with an invitation, not a conclusion.</w:t>
      </w:r>
      <w:r>
        <w:t xml:space="preserve"> “Curious if you’re seeing the same thing” opens doors. Declarative endings close them.</w:t>
      </w:r>
    </w:p>
    <w:p>
      <w:pPr>
        <w:pStyle w:val="ListParagraph"/>
        <w:numPr>
          <w:ilvl w:val="0"/>
          <w:numId w:val="2"/>
        </w:numPr>
        <w:spacing w:after="80"/>
      </w:pPr>
      <w:r>
        <w:rPr>
          <w:b/>
          <w:bCs/>
        </w:rPr>
        <w:t xml:space="preserve">Natural language flow.</w:t>
      </w:r>
      <w:r>
        <w:t xml:space="preserve"> Conversational, not corporate. Concrete examples over abstract concepts.</w:t>
      </w:r>
    </w:p>
    <w:p>
      <w:pPr>
        <w:pStyle w:val="ListParagraph"/>
        <w:numPr>
          <w:ilvl w:val="0"/>
          <w:numId w:val="2"/>
        </w:numPr>
        <w:spacing w:after="200"/>
      </w:pPr>
      <w:r>
        <w:rPr>
          <w:b/>
          <w:bCs/>
        </w:rPr>
        <w:t xml:space="preserve">No unresearched claims.</w:t>
      </w:r>
      <w:r>
        <w:t xml:space="preserve"> If it hasn’t been validated through real work, don’t codify it.</w:t>
      </w:r>
    </w:p>
    <w:p>
      <w:r>
        <w:br w:type="page"/>
      </w:r>
    </w:p>
    <w:p>
      <w:pPr>
        <w:pStyle w:val="Heading1"/>
      </w:pPr>
      <w:r>
        <w:t xml:space="preserve">8. Audience (Internal Reference)</w:t>
      </w:r>
    </w:p>
    <w:p>
      <w:pPr>
        <w:spacing w:after="120"/>
      </w:pPr>
      <w:r>
        <w:rPr>
          <w:i/>
          <w:iCs/>
          <w:color w:val="555555"/>
        </w:rPr>
        <w:t xml:space="preserve">Strategic filter for content, outreach, and product decisions. Not public-facing — the thesis and origin story work precisely because they’re universal.</w:t>
      </w:r>
    </w:p>
    <w:p>
      <w:pPr>
        <w:spacing w:after="200"/>
      </w:pPr>
      <w:r>
        <w:t xml:space="preserve">Creative Precision is built for organizations that have the ambition to use AI but lack the strategic and operating frameworks to move from experimentation to production value.</w:t>
      </w:r>
    </w:p>
    <w:p>
      <w:pPr>
        <w:pStyle w:val="Heading2"/>
      </w:pPr>
      <w:r>
        <w:t xml:space="preserve">Primary Segment</w:t>
      </w:r>
    </w:p>
    <w:p>
      <w:pPr>
        <w:spacing w:after="200"/>
      </w:pPr>
      <w:r>
        <w:rPr>
          <w:b/>
          <w:bCs/>
        </w:rPr>
        <w:t xml:space="preserve">Mid-market organizations</w:t>
      </w:r>
      <w:r>
        <w:t xml:space="preserve"> (200–2,000 employees, $50M–$500M revenue) across industries. Large enough to have real AI complexity, too lean to staff a dedicated governance team or afford Big 4 engagements. They need one person who can build the whole system: strategy, governance, operating model, and team enablement.</w:t>
      </w:r>
    </w:p>
    <w:p>
      <w:pPr>
        <w:pStyle w:val="Heading2"/>
      </w:pPr>
      <w:r>
        <w:t xml:space="preserve">Secondary Segment</w:t>
      </w:r>
    </w:p>
    <w:p>
      <w:pPr>
        <w:spacing w:after="200"/>
      </w:pPr>
      <w:r>
        <w:rPr>
          <w:b/>
          <w:bCs/>
        </w:rPr>
        <w:t xml:space="preserve">Government and public sector agencies</w:t>
      </w:r>
      <w:r>
        <w:t xml:space="preserve"> navigating the gap between AI mandates and operational reality. NIST-aligned frameworks, legacy system experience, and the ability to bridge policy language with technical delivery are the differentiators.</w:t>
      </w:r>
    </w:p>
    <w:p>
      <w:pPr>
        <w:pStyle w:val="Heading2"/>
      </w:pPr>
      <w:r>
        <w:t xml:space="preserve">Cross-Cutting Qualifier</w:t>
      </w:r>
    </w:p>
    <w:p>
      <w:pPr>
        <w:spacing w:after="200"/>
      </w:pPr>
      <w:r>
        <w:rPr>
          <w:b/>
          <w:bCs/>
        </w:rPr>
        <w:t xml:space="preserve">Organizations stuck in pilot purgatory</w:t>
      </w:r>
      <w:r>
        <w:t xml:space="preserve"> — they’ve experimented with AI, maybe launched a few proofs of concept, but can’t get to production scale. The problem isn’t technology. It’s the absence of the strategic and operating frameworks that channel AI’s capability into business outcomes.</w:t>
      </w:r>
    </w:p>
    <w:p>
      <w:pPr>
        <w:pStyle w:val="Heading2"/>
      </w:pPr>
      <w:r>
        <w:t xml:space="preserve">The Buyer</w:t>
      </w:r>
    </w:p>
    <w:p>
      <w:pPr>
        <w:spacing w:after="200"/>
      </w:pPr>
      <w:r>
        <w:t xml:space="preserve">C-suite or VP-level leaders accountable for AI outcomes — CTO, CDO, CIO, COO, or the executive who just got handed the AI mandate without the playbook. Not technical practitioners shopping for tools. Business leaders who need the system around the algorithm.</w:t>
      </w:r>
    </w:p>
    <w:p>
      <w:pPr>
        <w:pStyle w:val="Heading2"/>
      </w:pPr>
      <w:r>
        <w:t xml:space="preserve">Not the Audience</w:t>
      </w:r>
    </w:p>
    <w:p>
      <w:pPr>
        <w:spacing w:after="200"/>
      </w:pPr>
      <w:r>
        <w:t xml:space="preserve">Fortune 500 companies with mature, well-staffed AI governance programs. Early-stage startups without the complexity or regulatory pressure that makes governance valuable. Organizations looking for a technology vendor rather than a strategic operating partner.</w:t>
      </w:r>
    </w:p>
    <w:p>
      <w:pPr>
        <w:pStyle w:val="Heading2"/>
      </w:pPr>
      <w:r>
        <w:t xml:space="preserve">Market Context</w:t>
      </w:r>
    </w:p>
    <w:p>
      <w:pPr>
        <w:spacing w:after="120"/>
      </w:pPr>
      <w:r>
        <w:t xml:space="preserve">The AI governance market is growing at ~35% CAGR, projected to hit $4.8B by 2034. Key data points that validate this audience:</w:t>
      </w:r>
    </w:p>
    <w:p>
      <w:pPr>
        <w:pStyle w:val="ListParagraph"/>
        <w:numPr>
          <w:ilvl w:val="0"/>
          <w:numId w:val="2"/>
        </w:numPr>
        <w:spacing w:after="80"/>
      </w:pPr>
      <w:r>
        <w:t xml:space="preserve">Only 1.5% of organizations believe they have adequate AI governance headcount (IAPP 2025).</w:t>
      </w:r>
    </w:p>
    <w:p>
      <w:pPr>
        <w:pStyle w:val="ListParagraph"/>
        <w:numPr>
          <w:ilvl w:val="0"/>
          <w:numId w:val="2"/>
        </w:numPr>
        <w:spacing w:after="80"/>
      </w:pPr>
      <w:r>
        <w:t xml:space="preserve">23.5% cite lack of qualified professionals as their top barrier to AI governance.</w:t>
      </w:r>
    </w:p>
    <w:p>
      <w:pPr>
        <w:pStyle w:val="ListParagraph"/>
        <w:numPr>
          <w:ilvl w:val="0"/>
          <w:numId w:val="2"/>
        </w:numPr>
        <w:spacing w:after="80"/>
      </w:pPr>
      <w:r>
        <w:t xml:space="preserve">Nearly half of executives say turning Responsible AI principles into operational processes is their biggest challenge (PwC 2025).</w:t>
      </w:r>
    </w:p>
    <w:p>
      <w:pPr>
        <w:pStyle w:val="ListParagraph"/>
        <w:numPr>
          <w:ilvl w:val="0"/>
          <w:numId w:val="2"/>
        </w:numPr>
        <w:spacing w:after="80"/>
      </w:pPr>
      <w:r>
        <w:t xml:space="preserve">Government agencies are mandated to adopt AI governance but only ~25% have fully integrated AI across their organizations.</w:t>
      </w:r>
    </w:p>
    <w:p>
      <w:pPr>
        <w:pStyle w:val="ListParagraph"/>
        <w:numPr>
          <w:ilvl w:val="0"/>
          <w:numId w:val="2"/>
        </w:numPr>
        <w:spacing w:after="80"/>
      </w:pPr>
      <w:r>
        <w:t xml:space="preserve">The cross-functional skill set required (AI + ethics + compliance + risk + strategy) is exactly the profile that’s in shortest supply.</w:t>
      </w:r>
    </w:p>
    <w:p>
      <w:pPr>
        <w:pStyle w:val="ListParagraph"/>
        <w:numPr>
          <w:ilvl w:val="0"/>
          <w:numId w:val="2"/>
        </w:numPr>
        <w:spacing w:after="200"/>
      </w:pPr>
      <w:r>
        <w:t xml:space="preserve">Top industry verticals: Financial Services (47% of adoption), Healthcare (fastest growth), Government (rapidly expanding). All three align with existing experience.</w:t>
      </w:r>
    </w:p>
    <w:p>
      <w:r>
        <w:br w:type="page"/>
      </w:r>
    </w:p>
    <w:p>
      <w:pPr>
        <w:pStyle w:val="Heading1"/>
      </w:pPr>
      <w:r>
        <w:t xml:space="preserve">9. Design Principles</w:t>
      </w:r>
    </w:p>
    <w:p>
      <w:pPr>
        <w:spacing w:after="120"/>
      </w:pPr>
      <w:r>
        <w:rPr>
          <w:i/>
          <w:iCs/>
          <w:color w:val="555555"/>
        </w:rPr>
        <w:t xml:space="preserve">Rules that govern how all elements of this persona are applied.</w:t>
      </w:r>
    </w:p>
    <w:p>
      <w:pPr>
        <w:pStyle w:val="ListParagraph"/>
        <w:numPr>
          <w:ilvl w:val="0"/>
          <w:numId w:val="3"/>
        </w:numPr>
        <w:spacing w:after="100"/>
      </w:pPr>
      <w:r>
        <w:rPr>
          <w:b/>
          <w:bCs/>
        </w:rPr>
        <w:t xml:space="preserve">No consultant posture.</w:t>
      </w:r>
      <w:r>
        <w:t xml:space="preserve"> Never “I help companies,” “I design for you,” or “I partner with leaders.” Make it about the work.</w:t>
      </w:r>
    </w:p>
    <w:p>
      <w:pPr>
        <w:pStyle w:val="ListParagraph"/>
        <w:numPr>
          <w:ilvl w:val="0"/>
          <w:numId w:val="3"/>
        </w:numPr>
        <w:spacing w:after="100"/>
      </w:pPr>
      <w:r>
        <w:rPr>
          <w:b/>
          <w:bCs/>
        </w:rPr>
        <w:t xml:space="preserve">Lead with observation, not “I.”</w:t>
      </w:r>
      <w:r>
        <w:t xml:space="preserve"> The world first, then the insight, then (if needed) the experience.</w:t>
      </w:r>
    </w:p>
    <w:p>
      <w:pPr>
        <w:pStyle w:val="ListParagraph"/>
        <w:numPr>
          <w:ilvl w:val="0"/>
          <w:numId w:val="3"/>
        </w:numPr>
        <w:spacing w:after="100"/>
      </w:pPr>
      <w:r>
        <w:rPr>
          <w:b/>
          <w:bCs/>
        </w:rPr>
        <w:t xml:space="preserve">Governance is an accelerator, not a brake.</w:t>
      </w:r>
      <w:r>
        <w:t xml:space="preserve"> Reframe governance as “strategic” and “operating” frameworks. Avoid compliance/bureaucracy associations.</w:t>
      </w:r>
    </w:p>
    <w:p>
      <w:pPr>
        <w:pStyle w:val="ListParagraph"/>
        <w:numPr>
          <w:ilvl w:val="0"/>
          <w:numId w:val="3"/>
        </w:numPr>
        <w:spacing w:after="100"/>
      </w:pPr>
      <w:r>
        <w:rPr>
          <w:b/>
          <w:bCs/>
        </w:rPr>
        <w:t xml:space="preserve">No unresearched claims.</w:t>
      </w:r>
      <w:r>
        <w:t xml:space="preserve"> Keep methodology conceptual until validated through real engagements. No fabricated steps or phases.</w:t>
      </w:r>
    </w:p>
    <w:p>
      <w:pPr>
        <w:pStyle w:val="ListParagraph"/>
        <w:numPr>
          <w:ilvl w:val="0"/>
          <w:numId w:val="3"/>
        </w:numPr>
        <w:spacing w:after="100"/>
      </w:pPr>
      <w:r>
        <w:rPr>
          <w:b/>
          <w:bCs/>
        </w:rPr>
        <w:t xml:space="preserve">Channel, not control.</w:t>
      </w:r>
      <w:r>
        <w:t xml:space="preserve"> Language should always feel like focusing and directing, never restricting or slowing down.</w:t>
      </w:r>
    </w:p>
    <w:p>
      <w:pPr>
        <w:pStyle w:val="ListParagraph"/>
        <w:numPr>
          <w:ilvl w:val="0"/>
          <w:numId w:val="3"/>
        </w:numPr>
        <w:spacing w:after="100"/>
      </w:pPr>
      <w:r>
        <w:rPr>
          <w:b/>
          <w:bCs/>
        </w:rPr>
        <w:t xml:space="preserve">Quiet Expert archetype.</w:t>
      </w:r>
      <w:r>
        <w:t xml:space="preserve"> The work speaks for itself. Credentials are proven through the quality of the thinking, not listed in the introduction.</w:t>
      </w:r>
    </w:p>
    <w:p>
      <w:pPr>
        <w:pStyle w:val="ListParagraph"/>
        <w:numPr>
          <w:ilvl w:val="0"/>
          <w:numId w:val="3"/>
        </w:numPr>
        <w:spacing w:after="200"/>
      </w:pPr>
      <w:r>
        <w:rPr>
          <w:b/>
          <w:bCs/>
        </w:rPr>
        <w:t xml:space="preserve">Audience definition is internal.</w:t>
      </w:r>
      <w:r>
        <w:t xml:space="preserve"> Public-facing content stays universal. The audience section is a strategic filter, not a public statement.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2026-02-09T15:46:51.010Z</dcterms:created>
  <dcterms:modified xsi:type="dcterms:W3CDTF">2026-02-09T15:46:51.011Z</dcterms:modified>
</cp:coreProperties>
</file>

<file path=docProps/custom.xml><?xml version="1.0" encoding="utf-8"?>
<Properties xmlns="http://schemas.openxmlformats.org/officeDocument/2006/custom-properties" xmlns:vt="http://schemas.openxmlformats.org/officeDocument/2006/docPropsVTypes"/>
</file>