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Wabash Valley Communications under the authority of the Wabash Valley Communications Governing Board.</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March 2, 2026    Next Review: March 2,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Wabash Valley Communications's cybersecurity and privacy program and authorizes the resources and authority to run it. It names the program's executive sponsor, designates the cybersecurity and privacy lead, and confirms the Director's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Designated Cybersecurity and Privacy Lead: the individual the Director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the Wabash Valley Communications Governing Board,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Dana Mercer, Security Coordinator (part-time), Wabash Valley Communications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(three-person team across departments)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The FY2026 budget commits a dedicated cybersecurity allocation of about $60,500, including the part-time Security Coordinator (0.5 FTE), tooling for both centers, and training; the detail is tracked in the Cybersecurity Budget &amp; Resource Allocation Record.</w:t>
      </w:r>
    </w:p>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 xml:space="preserve">The Director oversees the program and this charter. Failure to carry out an assigned program responsibility is handled under the Agency's county personnel policy.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the Wabash Valley Communications Governing Board.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Director.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Name a security coordinator as the designated lead, separate from the director who sponsors the program. Tie the committed budget line to the county's cycle. Review the charter when the coordinator or sponsor changes.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(Governing Board)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 Board action 2026-08</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Governing Board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