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tririver.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Executive 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Tri-River Regional 911 Center's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across both physical centers: the NG911 core, the dual CAD systems, RMS, GIS, ALI, the radio and video subsystems, and all supporting endpoints.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partner public-safety systems reached only through governed external interconnections, which their owners administer.</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Tri-River Regional 911 Center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Executive Director approves the inventory, and it is reviewed at least quarterly.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Executive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IT team (five staff) with a part-time 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Executive Director monitors compliance with this policy. Violations are handled under the Agency's the Center's personnel and progressive-discipline policy.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Executive Director. A request must state the control affected, the reason, any compensating measures, and an end date. Approved exceptions are recorded in the Risk Register and reviewed at least quarterly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Executive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policy as part of a formal program. The information security role maintains the inventory, the control-to-risk mapping, and the exception register, and reports policy status to leadership on a set schedule.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 xml:space="preserve">    240 IAC 5: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