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personnel and authorized contractors may use the center’s systems, networks, and data. It states the conduct expected of every user and the conditions of access. Signing this policy is a condition of being granted access to any Tri-River Regional 911 Center system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Tri-River Regional 911 Center personnel, including the 38 dispatchers across two facilities and three shifts, supervisors, the IT team, the information security analyst, and administrative staff, and any contractor or integration-partner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NG911 call-handling environment, the CAD, RMS, GIS, video, and ALI integrations, the SIEM and logging systems, and the endpoints and infrastructure across both facilities,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integrated under separate data-sharing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Tri-River Regional 911 Center.</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grants access to its systems and data only to users who have signed this policy and completed onboarding.</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and multi-factor tokens, do not share passwords or their IDACS sign-on, and report a suspected compromise to the information security analyst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 consoles also lock automatically after a set idle period.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information security analyst authorizes it in writing and IT enrolls the device in mobile device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video, or location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IT change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Tri-River Regional 911 Center systems display a notification banner at login, enforced through single sign-on across both facilities.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Tri-River Regional 911 Center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enforced through single sign-on on the dispatch consoles, administrative workstations, the VPN, and integrated applications across both facilities. Single sign-on records each acknowledgment, and the SIEM retains banner confirmations with system logs; the information security analyst reviews exceptions monthly.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in the onboarding system before IT enables an account, signs again each year, and signs again whenever the policy changes. Provisioning is automated and will not release an account until the signed acknowledgment is recorded.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sets the banner standard, and reviews acknowledgment and banner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single sign-on and the banner, enforces credential, device, and VPN controls, and automates provisioning tied to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information security analyst monitors compliance through the SIEM, single sign-on records,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information security analyst tracks open exceptions in the risk register and reviews them quarterly.</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Tri-River Regional 911 Center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