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personnel and authorized contractors may use the center’s systems, networks, and data. It states the conduct expected of every user and the conditions of access. Signing this policy is a condition of being granted access to any Wabash Valley Communications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Wabash Valley Communications personnel, including the fourteen full-time dispatchers across two shifts, shift supervisors, the part-time security coordinator, and administrative staff, and any shared county IT or vendor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redundant call-handling and CAD systems, the dual ESInet connections, the logging and recording systems, and the mixed cloud and on-premises infrastructure,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governed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Wabash Valley Communications.</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do not share passwords or their IDACS sign-on, and report a suspected compromise to the security coordinator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security coordinator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Wabash Valley Communications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Wabash Valley Communications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administrative workstations, the VPN, and the cloud applications that support single sign-on. The consoles, the VPN, and the cloud sign-on record each acknowledgment, and the security coordinator reviews banner confirmations quarterly.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county IT enables an account, signs again each year, and signs again whenever the policy changes. County IT does not enable an account until the security coordinator confirms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confirms acknowledgments before access, and reviews banner confirmations.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coordinator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security coordinator monitors compliance through console, VPN, and cloud sign-on logs, banner confirmations,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security coordinator tracks open exceptions and reviews them each year.</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and county IT configures the banner on shared systems.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Wabash Valley Communications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