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February 17,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 / CJIS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Hickory County 911, what each does, and the screening and training each requires. It extends the RACI Matrix for Cybersecurity into job-description detail and confirms the center has enough trained people, in-house or contracted, to run its security program. At this size most roles fall to two people and a contractor.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 at the center, whether filled by the Director, county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dispatch duties with no security responsibility beyond following the Acceptable Use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center systems or data.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 (Director)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Board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program, maintains policies, coordinates incident response, and chairs the Security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annual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(IDACS); vendor and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 monthly, triages anything unusual, and escalates to the Director.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basic monitoring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with county IT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Incident Response Plan, contains and recovers, and makes the IOT and CJIS notifications.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incident-response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reviewer (contracted)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Independent of center operations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the annual access and control review.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audit experience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At Hickory County 911 the Director and the county IT technician hold most of these roles between them, and the independent review is contracted through the county. Where a role is contracted, the service agreement carries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confirms each year that every duty above is assigned to a named, trained person or contractor, and that four capabilities are covered: secure configuration, monitoring, incident response, and audit. Configuration and monitoring sit with county IT; incident response is shared by the Director and county IT; the annual audit is contracted because no one in the center is independent of operations. That arrangement is recorded in the IT Support Accountability Agreement. The center’s current gap, a single point of failure if the county IT technician is unavailable, is recorded as a finding, and a backup technical contact at the CAD vendor is being arranged.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arrangement where a role is shared or contracted differently than described, naming who covers the duty and for how long,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center staffing, systems, or applicable law, by the Director. It was last adopted on February 17,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through IDACS at the co-located Sheriff’s Office,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