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1.2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2026-01-20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2027-01-20</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Security Coordinator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None; all Agency systems that authenticate users are in scope.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five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Executive Director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require written approval from the Executive Director, must state the system affected and any compensating control, and are recorded in the Risk / Finding Register with a target date. They expire after 12 months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enforces rules through directory group policy where available. Require MFA on all remote and administrative access first, then all users, and begin centralizing the service-account inventory.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2026-01-20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