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Hickory County 911</w:t>
            </w:r>
            <w:r>
              <w:rPr>
                <w:rFonts w:ascii="Aptos" w:cs="Aptos" w:eastAsia="Aptos" w:hAnsi="Aptos"/>
                <w:sz w:val="24"/>
                <w:szCs w:val="24"/>
              </w:rPr>
              <w:t xml:space="preserve"> under the authority of the </w:t>
            </w:r>
            <w:r>
              <w:rPr>
                <w:rFonts w:ascii="Aptos" w:cs="Aptos" w:eastAsia="Aptos" w:hAnsi="Aptos"/>
                <w:b/>
                <w:bCs/>
                <w:sz w:val="24"/>
                <w:szCs w:val="24"/>
              </w:rPr>
              <w:t xml:space="preserve">Sheriff</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2026-02-15    </w:t>
            </w:r>
            <w:r>
              <w:rPr>
                <w:rFonts w:ascii="Aptos" w:cs="Aptos" w:eastAsia="Aptos" w:hAnsi="Aptos"/>
                <w:b/>
                <w:bCs/>
                <w:sz w:val="24"/>
                <w:szCs w:val="24"/>
              </w:rPr>
              <w:t xml:space="preserve">Next Review: </w:t>
            </w:r>
            <w:r>
              <w:rPr>
                <w:rFonts w:ascii="Aptos" w:cs="Aptos" w:eastAsia="Aptos" w:hAnsi="Aptos"/>
                <w:sz w:val="24"/>
                <w:szCs w:val="24"/>
              </w:rPr>
              <w:t xml:space="preserve">2027-02-15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policy governs remote access to Hickory County 911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Hickory County 911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which is governed by the Access Control Policy.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Approved devices are Agency-issued laptops, configured by County IT.</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15 minutes of inactivity.</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IT (1 shared technician)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sz w:val="24"/>
          <w:szCs w:val="24"/>
        </w:rPr>
        <w:t xml:space="preserve">The Director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sz w:val="24"/>
          <w:szCs w:val="24"/>
        </w:rPr>
        <w:t xml:space="preserve">Exceptions require written approval from the Director, must state the system affected and any compensating control, and are recorded in the Risk / Finding Register with a target date. They expire after 12 months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sz w:val="24"/>
          <w:szCs w:val="24"/>
        </w:rPr>
        <w:t xml:space="preserve">This policy is reviewed at least annually and after any significant change to remote-access technology or methods, by the Director.</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Adopted as written. Hickory County 911 uses one approved method, a vendor-provided secure VPN with MFA from a free authenticator app. The Director keeps a short written list of who has remote access and what the CAD and ESInet vendors may reach, and reviews it twice a year.</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Sheriff</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