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Role-Based Access Control (RBAC)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Wabash Valley Communications</w:t>
            </w:r>
            <w:r>
              <w:rPr>
                <w:rFonts w:ascii="Aptos" w:cs="Aptos" w:eastAsia="Aptos" w:hAnsi="Aptos"/>
                <w:sz w:val="24"/>
                <w:szCs w:val="24"/>
              </w:rPr>
              <w:t xml:space="preserve"> under the authority of the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2026-03-01    </w:t>
            </w:r>
            <w:r>
              <w:rPr>
                <w:rFonts w:ascii="Aptos" w:cs="Aptos" w:eastAsia="Aptos" w:hAnsi="Aptos"/>
                <w:b/>
                <w:bCs/>
                <w:sz w:val="24"/>
                <w:szCs w:val="24"/>
              </w:rPr>
              <w:t xml:space="preserve">Next Review: </w:t>
            </w:r>
            <w:r>
              <w:rPr>
                <w:rFonts w:ascii="Aptos" w:cs="Aptos" w:eastAsia="Aptos" w:hAnsi="Aptos"/>
                <w:sz w:val="24"/>
                <w:szCs w:val="24"/>
              </w:rPr>
              <w:t xml:space="preserve">2027-03-01</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Security Coordinator</w:t>
            </w:r>
          </w:p>
          <w:p>
            <w:pPr>
              <w:spacing w:after="0"/>
            </w:pPr>
            <w:r>
              <w:rPr>
                <w:rFonts w:ascii="Aptos" w:cs="Aptos" w:eastAsia="Aptos" w:hAnsi="Aptos"/>
                <w:b/>
                <w:bCs/>
                <w:sz w:val="24"/>
                <w:szCs w:val="24"/>
              </w:rPr>
              <w:t xml:space="preserve">Classification: </w:t>
            </w:r>
            <w:r>
              <w:rPr>
                <w:rFonts w:ascii="Aptos" w:cs="Aptos" w:eastAsia="Aptos" w:hAnsi="Aptos"/>
                <w:sz w:val="24"/>
                <w:szCs w:val="24"/>
              </w:rPr>
              <w:t xml:space="preserve">Restricted / CJIS</w:t>
            </w:r>
          </w:p>
        </w:tc>
      </w:tr>
    </w:tbl>
    <w:p>
      <w:pPr>
        <w:spacing w:before="220" w:after="100"/>
      </w:pPr>
      <w:r>
        <w:rPr>
          <w:rFonts w:ascii="Aptos" w:cs="Aptos" w:eastAsia="Aptos" w:hAnsi="Aptos"/>
          <w:b/>
          <w:bCs/>
          <w:color w:val="1B3A5C"/>
          <w:sz w:val="26"/>
          <w:szCs w:val="26"/>
        </w:rPr>
        <w:t xml:space="preserve">1. Purpose and Scope</w:t>
      </w:r>
    </w:p>
    <w:p>
      <w:pPr>
        <w:spacing w:after="120"/>
      </w:pPr>
      <w:r>
        <w:rPr>
          <w:rFonts w:ascii="Aptos" w:cs="Aptos" w:eastAsia="Aptos" w:hAnsi="Aptos"/>
          <w:sz w:val="24"/>
          <w:szCs w:val="24"/>
        </w:rPr>
        <w:t xml:space="preserve">This record documents how role-based access control is configured and enforced, as built, on Active Directory (county domain) at Wabash Valley Communications, across routine, temporary, privileged, and remote accounts. It is evidence that access on this system matches the role model the Agency approved in the Access Control Policy and the Access Entitlement Matrix; it does not define that model. One record is kept per system in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System in scope</w:t>
            </w:r>
          </w:p>
        </w:tc>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Asset ID</w:t>
            </w:r>
          </w:p>
        </w:tc>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RBAC record status</w:t>
            </w:r>
          </w:p>
        </w:tc>
      </w:tr>
      <w:tr>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Active Directory (county domain)</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AST-014</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Current</w:t>
            </w:r>
          </w:p>
        </w:tc>
      </w:tr>
      <w:tr>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Computer-Aided Dispatch (CAD)</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AST-002</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Current</w:t>
            </w:r>
          </w:p>
        </w:tc>
      </w:tr>
      <w:tr>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Records Management System (RMS)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AST-009</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Current</w:t>
            </w:r>
          </w:p>
        </w:tc>
      </w:tr>
    </w:tbl>
    <w:p>
      <w:pPr>
        <w:spacing w:before="220" w:after="100"/>
      </w:pPr>
      <w:r>
        <w:rPr>
          <w:rFonts w:ascii="Aptos" w:cs="Aptos" w:eastAsia="Aptos" w:hAnsi="Aptos"/>
          <w:b/>
          <w:bCs/>
          <w:color w:val="1B3A5C"/>
          <w:sz w:val="26"/>
          <w:szCs w:val="26"/>
        </w:rPr>
        <w:t xml:space="preserve">2. System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Field</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Value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 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Active Directory (county domain)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Environment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production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Location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county data center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Owner (role)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Security Coordinator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Asset ID</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AST-014 (Master Asset Inventory)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Identity / directory source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Active Directory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RBAC enforcement mechanism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directory security groups</w:t>
            </w:r>
          </w:p>
        </w:tc>
      </w:tr>
    </w:tbl>
    <w:p>
      <w:pPr>
        <w:spacing w:before="220" w:after="100"/>
      </w:pPr>
      <w:r>
        <w:rPr>
          <w:rFonts w:ascii="Aptos" w:cs="Aptos" w:eastAsia="Aptos" w:hAnsi="Aptos"/>
          <w:b/>
          <w:bCs/>
          <w:color w:val="1B3A5C"/>
          <w:sz w:val="26"/>
          <w:szCs w:val="26"/>
        </w:rPr>
        <w:t xml:space="preserve">3. As-Built Role Enforcement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960"/>
        <w:gridCol w:w="2000"/>
      </w:tblGrid>
      <w:tr>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(as configured)</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Mapped entitlement (Access Entitlement Matrix)</w:t>
            </w:r>
          </w:p>
        </w:tc>
        <w:tc>
          <w:tcPr>
            <w:tcW w:type="dxa" w:w="2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Permissions as configured</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Enforcement mechanism</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Dispatcher</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ENT-DISP</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Call handling and CAD/RMS read; no configuration</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AD group: PSAP-Dispatch</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Shift Supervisor</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ENT-SUP</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Dispatcher rights plus reporting and reassignment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AD group: PSAP-Supervisor</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Administrator</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ENT-ADM</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 and account configuration; no audit access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AD group: PSAP-Admins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Auditor</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ENT-AUD</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Read-only access to audit logs; no configuration</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AD group: PSAP-Audit</w:t>
            </w:r>
          </w:p>
        </w:tc>
      </w:tr>
    </w:tbl>
    <w:p>
      <w:pPr>
        <w:spacing w:before="220" w:after="100"/>
      </w:pPr>
      <w:r>
        <w:rPr>
          <w:rFonts w:ascii="Aptos" w:cs="Aptos" w:eastAsia="Aptos" w:hAnsi="Aptos"/>
          <w:b/>
          <w:bCs/>
          <w:color w:val="1B3A5C"/>
          <w:sz w:val="26"/>
          <w:szCs w:val="26"/>
        </w:rPr>
        <w:t xml:space="preserve">4. Separation-of-Duties Pairing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Function A</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Function B (kept separate)</w:t>
            </w:r>
          </w:p>
        </w:tc>
        <w:tc>
          <w:tcPr>
            <w:tcW w:type="dxa" w:w="4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How separation is enforced on this system</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 administration</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Audit-log review</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Members of PSAP-Admins are excluded from PSAP-Audit; audit logs are read-only to administrators.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Account provisioning</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Periodic access review</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The Security Coordinator runs the access review and does not provision accounts.</w:t>
            </w:r>
          </w:p>
        </w:tc>
      </w:tr>
    </w:tbl>
    <w:p>
      <w:pPr>
        <w:spacing w:before="220" w:after="100"/>
      </w:pPr>
      <w:r>
        <w:rPr>
          <w:rFonts w:ascii="Aptos" w:cs="Aptos" w:eastAsia="Aptos" w:hAnsi="Aptos"/>
          <w:b/>
          <w:bCs/>
          <w:color w:val="1B3A5C"/>
          <w:sz w:val="26"/>
          <w:szCs w:val="26"/>
        </w:rPr>
        <w:t xml:space="preserve">5. Approved Baseline and Deviation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60"/>
        <w:gridCol w:w="1140"/>
        <w:gridCol w:w="1760"/>
        <w:gridCol w:w="1600"/>
      </w:tblGrid>
      <w:tr>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baseline</w:t>
            </w:r>
          </w:p>
        </w:tc>
        <w:tc>
          <w:tcPr>
            <w:tcW w:type="dxa" w:w="114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Deviation?</w:t>
            </w:r>
          </w:p>
        </w:tc>
        <w:tc>
          <w:tcPr>
            <w:tcW w:type="dxa" w:w="1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by (role)</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Dispatcher</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 listed in Section 3</w:t>
            </w:r>
          </w:p>
        </w:tc>
        <w:tc>
          <w:tcPr>
            <w:tcW w:type="dxa" w:w="11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N</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2026-03-01</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Auditor</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 listed in Section 3</w:t>
            </w:r>
          </w:p>
        </w:tc>
        <w:tc>
          <w:tcPr>
            <w:tcW w:type="dxa" w:w="11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N</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2026-03-01</w:t>
            </w:r>
          </w:p>
        </w:tc>
      </w:tr>
    </w:tbl>
    <w:p>
      <w:pPr>
        <w:spacing w:before="220" w:after="100"/>
      </w:pPr>
      <w:r>
        <w:rPr>
          <w:rFonts w:ascii="Aptos" w:cs="Aptos" w:eastAsia="Aptos" w:hAnsi="Aptos"/>
          <w:b/>
          <w:bCs/>
          <w:color w:val="1B3A5C"/>
          <w:sz w:val="26"/>
          <w:szCs w:val="26"/>
        </w:rPr>
        <w:t xml:space="preserve">6. Validation and Review</w:t>
      </w:r>
    </w:p>
    <w:p>
      <w:pPr>
        <w:spacing w:after="120"/>
      </w:pPr>
      <w:r>
        <w:rPr>
          <w:rFonts w:ascii="Aptos" w:cs="Aptos" w:eastAsia="Aptos" w:hAnsi="Aptos"/>
          <w:sz w:val="24"/>
          <w:szCs w:val="24"/>
        </w:rPr>
        <w:t xml:space="preserve">As-built role enforcement on this system is validated against the Access Control Policy and the Access Entitlement Matrix at least quarterly by the Security Coordinator. Least-privilege reviews and any resulting changes are recorded in the Privilege Review Records and in the Change History below.</w:t>
      </w:r>
    </w:p>
    <w:p>
      <w:pPr>
        <w:spacing w:before="220" w:after="10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Medium (6–25, 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Shared county IT records directory security groups and application roles per system and reconciles them with the Access Entitlement Matrix each quarter. Separation of duties is enforced through group membership.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§6.2 (Access Control); §6.2.1 (Account Management); §6.5 (Rights &amp; Privileges)</w:t>
            </w:r>
          </w:p>
          <w:p>
            <w:pPr>
              <w:spacing w:after="40"/>
            </w:pPr>
            <w:r>
              <w:rPr>
                <w:rFonts w:ascii="Aptos" w:cs="Aptos" w:eastAsia="Aptos" w:hAnsi="Aptos"/>
                <w:sz w:val="24"/>
                <w:szCs w:val="24"/>
              </w:rPr>
              <w:t xml:space="preserve">NIST SP 800-53 Rev. 5: AC-2, AC-3, AC-5, AC-6</w:t>
            </w:r>
          </w:p>
          <w:p>
            <w:pPr>
              <w:spacing w:after="40"/>
            </w:pPr>
            <w:r>
              <w:rPr>
                <w:rFonts w:ascii="Aptos" w:cs="Aptos" w:eastAsia="Aptos" w:hAnsi="Aptos"/>
                <w:sz w:val="24"/>
                <w:szCs w:val="24"/>
              </w:rPr>
              <w:t xml:space="preserve">Indiana statutes and administrative code: 240 IAC 5: IDACS Security</w:t>
            </w:r>
          </w:p>
          <w:p>
            <w:pPr>
              <w:spacing w:after="0"/>
            </w:pPr>
            <w:r>
              <w:rPr>
                <w:rFonts w:ascii="Aptos" w:cs="Aptos" w:eastAsia="Aptos" w:hAnsi="Aptos"/>
                <w:sz w:val="24"/>
                <w:szCs w:val="24"/>
              </w:rPr>
              <w:t xml:space="preserve">CJIS Security Policy v5.9: §5.5 (Access Control) (CJIS-regulated data in scope, via IDACS)</w:t>
            </w:r>
          </w:p>
        </w:tc>
      </w:tr>
    </w:tbl>
    <w:p>
      <w:pPr>
        <w:spacing w:before="220" w:after="10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Security Coordinator (system owner)</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County IT (security reviewer)</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spacing w:before="220" w:after="100"/>
      </w:pPr>
      <w:r>
        <w:rPr>
          <w:rFonts w:ascii="Aptos" w:cs="Aptos" w:eastAsia="Aptos" w:hAnsi="Aptos"/>
          <w:b/>
          <w:bCs/>
          <w:color w:val="1B3A5C"/>
          <w:sz w:val="26"/>
          <w:szCs w:val="26"/>
        </w:rP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2026-03-01</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Security Coordinator</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issue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Seal"/>
          <wp:cNvGraphicFramePr>
            <a:graphicFrameLocks noChangeAspect="1"/>
          </wp:cNvGraphicFramePr>
          <a:graphic>
            <a:graphicData uri="http://schemas.openxmlformats.org/drawingml/2006/picture">
              <pic:pic>
                <pic:nvPicPr>
                  <pic:cNvPr id="0" name="seal.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seal.png"/><Relationship Id="rId2"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2026-06-01T15:29:11.476Z</dcterms:created>
  <dcterms:modified xsi:type="dcterms:W3CDTF">2026-06-01T15:29:11.476Z</dcterms:modified>
</cp:coreProperties>
</file>

<file path=docProps/custom.xml><?xml version="1.0" encoding="utf-8"?>
<Properties xmlns="http://schemas.openxmlformats.org/officeDocument/2006/custom-properties" xmlns:vt="http://schemas.openxmlformats.org/officeDocument/2006/docPropsVTypes"/>
</file>