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Hickory County 911</w:t>
            </w:r>
            <w:r>
              <w:rPr>
                <w:rFonts w:ascii="Aptos" w:cs="Aptos" w:eastAsia="Aptos" w:hAnsi="Aptos"/>
                <w:sz w:val="24"/>
                <w:szCs w:val="24"/>
              </w:rPr>
              <w:t xml:space="preserve">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2026-02-15    </w:t>
            </w:r>
            <w:r>
              <w:rPr>
                <w:rFonts w:ascii="Aptos" w:cs="Aptos" w:eastAsia="Aptos" w:hAnsi="Aptos"/>
                <w:b/>
                <w:bCs/>
                <w:sz w:val="24"/>
                <w:szCs w:val="24"/>
              </w:rPr>
              <w:t xml:space="preserve">Next Review: </w:t>
            </w:r>
            <w:r>
              <w:rPr>
                <w:rFonts w:ascii="Aptos" w:cs="Aptos" w:eastAsia="Aptos" w:hAnsi="Aptos"/>
                <w:sz w:val="24"/>
                <w:szCs w:val="24"/>
              </w:rPr>
              <w:t xml:space="preserve">2027-02-15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sz w:val="24"/>
          <w:szCs w:val="24"/>
        </w:rPr>
        <w:t xml:space="preserve">This record documents how role-based access control is configured and enforced, as built, on Computer-Aided Dispatch (CAD) at Hickory County 911, across routine, temporary, privileged, and remote accounts. It is evidence that access on this system matches the role model the Agency approved in the Access Control Policy and the Access Entitlement Matrix; it does not define that model. One record is kept per system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Computer-Aided Dispatch (CAD)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directory accounts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AST-006</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bl>
    <w:p>
      <w:pPr>
        <w:spacing w:before="220" w:after="10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Computer-Aided Dispatch (CAD)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on-premises at the PSAP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AST-002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application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application roles</w:t>
            </w:r>
          </w:p>
        </w:tc>
      </w:tr>
    </w:tbl>
    <w:p>
      <w:pPr>
        <w:spacing w:before="220" w:after="100"/>
      </w:pPr>
      <w:r>
        <w:rPr>
          <w:rFonts w:ascii="Aptos" w:cs="Aptos" w:eastAsia="Aptos" w:hAnsi="Aptos"/>
          <w:b/>
          <w:bCs/>
          <w:color w:val="1B3A5C"/>
          <w:sz w:val="26"/>
          <w:szCs w:val="26"/>
        </w:rPr>
        <w:t xml:space="preserve">3. As-Built Role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ENT-DISP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 handling, CAD entry, and unit status; no configuration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role: Dispatcher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Shift Supervisor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ENT-SUP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 rights plus call reassignment and shift reports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role: Supervisor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Administrator (County IT)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ENT-ADM</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User and role configuration; no live call handling</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role: Administrator</w:t>
            </w:r>
          </w:p>
        </w:tc>
      </w:tr>
    </w:tbl>
    <w:p>
      <w:pPr>
        <w:spacing w:before="220" w:after="100"/>
      </w:pPr>
      <w:r>
        <w:rPr>
          <w:rFonts w:ascii="Aptos" w:cs="Aptos" w:eastAsia="Aptos" w:hAnsi="Aptos"/>
          <w:b/>
          <w:bCs/>
          <w:color w:val="1B3A5C"/>
          <w:sz w:val="26"/>
          <w:szCs w:val="26"/>
        </w:rPr>
        <w:t xml:space="preserve">4. Separation-of-Duties Pairing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CAD Administrator is not assigned the audit-reviewer role; the Director reviews CAD audit logs.</w:t>
            </w:r>
          </w:p>
        </w:tc>
      </w:tr>
    </w:tbl>
    <w:p>
      <w:pPr>
        <w:spacing w:before="220" w:after="100"/>
      </w:pPr>
      <w:r>
        <w:rPr>
          <w:rFonts w:ascii="Aptos" w:cs="Aptos" w:eastAsia="Aptos" w:hAnsi="Aptos"/>
          <w:b/>
          <w:bCs/>
          <w:color w:val="1B3A5C"/>
          <w:sz w:val="26"/>
          <w:szCs w:val="26"/>
        </w:rPr>
        <w:t xml:space="preserve">5. Approved Baseline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CAD Administrator (County IT)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annually by the Director.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Director documents the few CAD roles by hand: who is an administrator, who is a call-taker, and what each can do. Administration is kept separate from log review even with one IT technician, naming who fills each duty.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 (system owner)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IT (security reviewer)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