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Background Check &amp; Screening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Security Coordinator   </w:t>
            </w:r>
          </w:p>
          <w:p>
            <w:pPr>
              <w:spacing w:after="20"/>
            </w:pPr>
            <w:r>
              <w:rPr>
                <w:rFonts w:ascii="Aptos" w:hAnsi="Aptos"/>
                <w:b/>
                <w:sz w:val="24"/>
              </w:rPr>
              <w:t xml:space="preserve">Classification: </w:t>
            </w:r>
            <w:r>
              <w:rPr>
                <w:rFonts w:ascii="Aptos" w:hAnsi="Aptos"/>
                <w:b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Wabash Valley Communications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all dispatcher and call-taker positions, supervisors, the security coordinator, and shared county IT staff with access to ECC systems.</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every two years, and on the cadence IDACS requires for CJIS-regulated access,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Wabash Valley Communications.</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Wabash Valley Communications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Only the Director may grant a time-limited exception, in writing, with a documented compensating control such as continuous escort. Exceptions are logged and expire on 30 days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Security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or HR contact runs screening and tracks rescreening dates; the director adjudicates adverse findings. Contractor screening clauses go into vendor agreements managed by the shared-services or county contracts office.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