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charter establishes [Agency Name]'s cybersecurity and privacy program and authorizes the resources and authority to run it. It names the program's executive sponsor, designates the cybersecurity and privacy lead, and confirms the [Director / Coordinator]'s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40"/>
      </w:pPr>
      <w:r>
        <w:rPr>
          <w:rFonts w:ascii="Aptos" w:cs="Aptos" w:eastAsia="Aptos" w:hAnsi="Aptos"/>
          <w:i/>
          <w:iCs/>
          <w:color w:val="595959"/>
          <w:sz w:val="24"/>
          <w:szCs w:val="24"/>
        </w:rPr>
        <w:t xml:space="preserve">«Optional. Charter-level and program policies state objectives here; routine policies delete this section. Three to five outcome statements the program aims to achieve.»</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[Add exclusions if any;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 Coordinator]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[authorizing official / title],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 Coordinator]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 One exception: where an assessment requires a named designee, such as the cybersecurity and privacy lead named in a charter, name that person and title here, and revise the document when they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[Full Name], [Title]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40"/>
      </w:pPr>
      <w:r>
        <w:rPr>
          <w:rFonts w:ascii="Aptos" w:cs="Aptos" w:eastAsia="Aptos" w:hAnsi="Aptos"/>
          <w:i/>
          <w:iCs/>
          <w:color w:val="595959"/>
          <w:sz w:val="24"/>
          <w:szCs w:val="24"/>
        </w:rPr>
        <w:t xml:space="preserve">«Optional. Use where the policy commits budget, staffing, or tooling, such as a charter. State what leadership commits; the dated detail lives in the Cybersecurity Budget &amp; Resource Allocation Record. Delete for routine policies.»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[State the committed budget line or allocation, or reference where it is set.]</w:t>
      </w:r>
    </w:p>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The [Director / Coordinator] oversees the program and this charter. Failure to carry out an assigned program responsibility is handled under the Agency's [personnel / corrective-action process].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[authorizing official / title].</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 Coordinator].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Name a security coordinator as the designated lead, separate from the director who sponsors the program. Tie the committed budget line to the county's cycle. Review the charter when the coordinator or sponsor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charter sits at the top of a formal program. A dedicated or part-time security role holds the designation, leadership reviews the program on a set schedule, and the committed resources are managed as a standing budget line.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A-001 names a specific individual as the Designated Cybersecurity and Privacy Lead. This is the one named-person field in the form (the project's role-not-name exception). The PSAP fills [Full Name] and [Title] and revises the charter when that person changes. Cross-referenced artifacts use their Tracker names: Cybersecurity Budget &amp; Resource Allocation Record, Leadership Security Review Meeting Minutes, Risk Management Methodology Standard, IT Support Accountability Agreement. Confirm the NENA-STA-040.2-2024 sections (§4.1.1 Senior Management, §4.1.2 Policies) against the standard in force. Agency-supplied values left in brackets: [Agency Name], authorizing official, designated lead name and title, version, effective and review dates, and the committed budget line.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