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 Coordinator]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is [Agency Name]'s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networks, applications, and data the Agency owns or operates to support 9-1-1 call handling and dispatch, including CAD, telephony and the ESInet connection, logging and recording systems, GIS, and the endpoints and infrastructure that support them. Covers CJIS-regulated data accessed through IDACS. [Add Agency-specific systems.]</w:t>
      </w:r>
    </w:p>
    <w:p>
      <w:pPr>
        <w:pStyle w:val="ListParagraph"/>
        <w:numPr>
          <w:ilvl w:val="0"/>
          <w:numId w:val="2"/>
        </w:numPr>
        <w:spacing w:after="60"/>
      </w:pPr>
      <w:r>
        <w:rPr>
          <w:rFonts w:ascii="Aptos" w:cs="Aptos" w:eastAsia="Aptos" w:hAnsi="Aptos"/>
          <w:b w:val="false"/>
          <w:bCs w:val="false"/>
          <w:i w:val="false"/>
          <w:iCs w:val="false"/>
          <w:sz w:val="24"/>
          <w:szCs w:val="24"/>
        </w:rPr>
        <w:t>Excludes: [list any systems or data outside this policy, such as systems owned and run solely by another agency under a separate agreement.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[Agency Name]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 / Coordinator] approves the inventory, and it is reviewed at least [annually].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 / Coordinator].</w:t>
      </w:r>
    </w:p>
    <w:p>
      <w:pPr>
        <w:pStyle w:val="ListParagraph"/>
        <w:numPr>
          <w:ilvl w:val="0"/>
          <w:numId w:val="3"/>
        </w:numPr>
        <w:spacing w:after="60"/>
      </w:pPr>
      <w:r>
        <w:rPr>
          <w:rFonts w:ascii="Aptos" w:cs="Aptos" w:eastAsia="Aptos" w:hAnsi="Aptos"/>
          <w:b w:val="false"/>
          <w:bCs w:val="false"/>
          <w:i w:val="false"/>
          <w:iCs w:val="false"/>
          <w:sz w:val="24"/>
          <w:szCs w:val="24"/>
        </w:rPr>
        <w:t xml:space="preserve">[Add statements as needed.]</w:t>
      </w:r>
    </w:p>
    <w:p>
      <w:pPr>
        <w:pStyle w:val="Heading2"/>
        <w:spacing w:after="100" w:before="220"/>
      </w:pPr>
      <w:r>
        <w:rPr>
          <w:rFonts w:ascii="Aptos" w:cs="Aptos" w:eastAsia="Aptos" w:hAnsi="Aptos"/>
          <w:b/>
          <w:bCs/>
          <w:color w:val="1B3A5C"/>
          <w:sz w:val="26"/>
          <w:szCs w:val="26"/>
        </w:rPr>
        <w:t>6.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The [Director / Coordinator] monitors compliance with this policy. Violations are handled under the Agency's [personnel / corrective-action process].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Exceptions to this policy require written approval from the [Director / Coordinator]. A request must state the control affected, the reason, any compensating measures, and an end date. Approved exceptions are recorded in the Risk Register and reviewed at least [annually]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 / Coordinator].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this policy as written and fill the brackets. The director owns it and approves the asset inventory directly. County or vendor IT carries out the technical controls under the IT Support Accountability Agreement. An annual review is enough; revisit after any incident or major system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Assign a named security coordinator to keep the asset inventory current and track exceptions. Tie enforcement to the county's corrective-action process. Review twice a year if systems change often.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policy as part of a formal program. The information security role maintains the inventory, the control-to-risk mapping, and the exception register, and reports policy status to leadership on a set schedule.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 xml:space="preserve">    240 IAC 5: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the CJIS Security Policy section reference in the Source Authority against the version in force for the systems the Agency connects to IDACS. §5.1 (Information Exchange Agreements) is cited as the baseline; extend to access-control, training, or personnel-security sections if the Agency's scope reaches them.</w:t>
            </w:r>
          </w:p>
          <w:p>
            <w:pPr>
              <w:spacing w:after="140"/>
            </w:pPr>
            <w:r>
              <w:rPr>
                <w:rFonts w:ascii="Aptos" w:cs="Aptos" w:eastAsia="Aptos" w:hAnsi="Aptos"/>
                <w:i/>
                <w:iCs/>
                <w:color w:val="595959"/>
                <w:sz w:val="24"/>
                <w:szCs w:val="24"/>
              </w:rPr>
              <w:t>Cross-referenced artifacts use their Tracker names: Risk Register, Master Asset Inventory, Data Classification Policy, Document Handling Standard, Incident Response Plan, Cybersecurity Training Plan, Policy Review &amp; Approval Log, IT Support Accountability Agreement. Confirm names hold when those artifacts are finalized.</w:t>
            </w:r>
          </w:p>
          <w:p>
            <w:pPr>
              <w:spacing w:after="140"/>
            </w:pPr>
            <w:r>
              <w:rPr>
                <w:rFonts w:ascii="Aptos" w:cs="Aptos" w:eastAsia="Aptos" w:hAnsi="Aptos"/>
                <w:i/>
                <w:iCs/>
                <w:color w:val="595959"/>
                <w:sz w:val="24"/>
                <w:szCs w:val="24"/>
              </w:rPr>
              <w:t>Agency-supplied values left in brackets: [Agency Name], signing official, owner role, version, effective and review dates, and the asset-inventory and exception review cadences.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