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Cybersecurity Governance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establishes the governance body that sets cybersecurity and privacy priorities for [Agency Name], oversees the security program, and keeps it aligned with the Agency’s public-safety mission and legal obligations.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Strategic Objectives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Charter-level and program policies state objectives here; routine policies delete this section. Three to five outcome statements the program aims to achieve.»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Protect the confidentiality, integrity, and availability of the systems and data used to receive and dispatch 9-1-1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the security program aligned with the Agency’s public-safety mission and resourced to match its risks.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Meet the Agency’s legal, regulatory, and CJIS obligations.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Hold a named owner accountable for each part of the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governance body, the executive sponsor, and every role that owns or implements a part of the security program.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program’s priorities, policies, risk decisions, metrics, and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day-to-day technical operations, which the body oversees but does not run.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Governance body: the steering committee or board named in this charter that oversees the Agency’s cybersecurity and privacy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maintain a governance body with the authority to set cybersecurity and privacy priorities and to approve security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review security metrics, risk status, and incident reports on a defined cadence.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confirm that the security program aligns with the Agency’s public-safety goals and its legal and regulatory requirements.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name an executive sponsor accountable for the program and for the resources it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[Add Agency-specific statements.]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Governance Body: Composition, Cadence &amp; Authority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«Name the seats by role, the chair, how often the body meets, what counts as a quorum, and what it has authority to decide.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Seat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Held by (role)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 / Chair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[senior official, e.g., Agency Director or county liaison]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[the designated lead named in the Cybersecurity Charter]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Operations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[dispatch supervisor or operations lead]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[county or contracted IT lead]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seats as needed]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meets at least [quarterly] and on call after a significant incident. A quorum is [a majority of seats]. The body sets priorities, approves policies, and accepts or escalates risk. A decision it cannot resolve is escalated to [the executive sponsor or the county board]. The meeting cadence and the reports the body reviews are tracked in the Governance Reporting Calendar, and its decisions are recorded in the Leadership Security Review Meeting Minutes.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 One exception: where an assessment requires a named designee, such as the cybersecurity and privacy lead named in a charter, name that person and title here, and revise the document when they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Chairs the governance body, owns the program, and secures the resources it needs.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program day to day and reports status, risk, and incidents to the body.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Governance body members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Set priorities, review metrics and risk, and approve policies.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(county / vendor / in-house)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Implements the body’s decisions and reports technical status.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 policies the body approves.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Committed Resources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Use where the policy commits budget, staffing, or tooling, such as a charter. State what leadership commits; the dated detail lives in the Cybersecurity Budget &amp; Resource Allocation Record. Delete for routine policies.»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[Agency Name] commits the budget, staffing, and tooling the program needs to meet its objectives. The dated detail is recorded in the Cybersecurity Budget &amp; Resource Allocation Record.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executive sponsor holds role owners accountable for the duties in this charter. A failure to meet a governance obligation is raised at the next meeting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[The executive sponsor] may approve a temporary change to the body’s composition or cadence, stating the reason and an expiry date,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is reviewed at least annually and after any significant change to the Agency’s structure or mission, by the [Owner role].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body is enough. The director chairs a short quarterly review with county IT and keeps brief minutes. The director may also be the executive sponsor and the privacy lead; note where one person holds several seats.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standing committee of the director, a security coordinator, and county IT meets quarterly and reports to the county board.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formal steering committee with defined seats, a quorum, and a published calendar oversees the program and reports to executive leadership.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§4.1, §4.1.1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PM-1, PM-2, PM-3, PM-9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executive sponsor role and the body’s seats, quorum, and meeting cadence (Section 5).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escalation path for an unresolved risk decision.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This charter governs the program; precise statutory obligations are carried by the operational policies it oversees, not restated here.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