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[name the public-safety systems in scope: CAD, ESInet/NGCS, radio, ALI/GIS, recording,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 to [end]</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 consulted].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spacing w:after="100" w:before="220"/>
      </w:pPr>
      <w:r>
        <w:rPr>
          <w:rFonts w:ascii="Aptos" w:cs="Aptos" w:eastAsia="Aptos" w:hAnsi="Aptos"/>
          <w:b/>
          <w:bCs/>
          <w:color w:val="1B3A5C"/>
          <w:sz w:val="26"/>
          <w:szCs w:val="26"/>
        </w:rP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(A-172) and feeds the Risk Register (A-009). NENA citations map to §4.2.1 (documented, retained security assessment), §4.3 with §4.3.1 / §4.3.2 (risk process, threat vectors, threat protection and mitigation), and §5.2 (assessment methods and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2026-06-04T17:40:21.610Z</dcterms:created>
  <dcterms:modified xsi:type="dcterms:W3CDTF">2026-06-04T17:40:21.610Z</dcterms:modified>
</cp:coreProperties>
</file>

<file path=docProps/custom.xml><?xml version="1.0" encoding="utf-8"?>
<Properties xmlns="http://schemas.openxmlformats.org/officeDocument/2006/custom-properties" xmlns:vt="http://schemas.openxmlformats.org/officeDocument/2006/docPropsVTypes"/>
</file>