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Appended “ / CJIS” because access to IDACS-reached systems is in scope.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who may access which systems, under what conditions, and through what approval. Replace every [BRACKETED] field,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It covers human and non-human accounts alike. The Service &amp; Cloud Accounts section is required: leave it in even if the Agency has only a few service accounts today.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[systems owned and operated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[Director / Coordinator]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[quarterly].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«Required dedicated controls for non-human accounts. Keep this section even if few service accounts exist today.»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[quarterly]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 (county / vendor / in-house)]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[System / data owner]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[All personnel]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[Director / Coordinator]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[Director / Coordinator], must state the access affected and any compensating control, and expire after [period]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[Director / Coordinator].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Service &amp; Cloud Accounts section satisfies assessment question 2A-6 (a dedicated service/cloud-account policy with owner, purpose, lifespan, privilege scope, and review cadence). Keep it as a named section; do not fold it back into the general statements.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Access Entitlement Matrix, Remote Access Policy, Privileged &amp; Service Account Inventory, and the account provisioning and deprovisioning workflow.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Agency-supplied values left in brackets: review cadences, exception period, and the named approver role.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