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«Minimum for Policy artifacts. Append “ / CJIS” if the Agency classifies CJIS-regulated data. Your agency may raise but not lower this.»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policy defines the Agency's data classification tiers and what protection each requires. Replace every [BRACKETED] field, complete the classification table, follow the « » guidance,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is the parent for encryption, retention, disposal, and the data map. Keep the tier names aligned to the NENA NG-SEC taxonomy used across the Agency's documents.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[data owned and controlled solely by another agency under a separate agreement, if any].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Classification: the sensitivity level assigned to a piece of data, which sets the minimum protection it must receive.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[data governance role];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«The Agency's tiers, the data mapped to each, the default label, and the minimum protection. Aligned to the NENA NG-SEC taxonomy; “Public” is not used in this library.»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documents not for public release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Agency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Network and system detail, IR and continuity plans, access rosters, CJIS-regulated data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Staff and incident-subject PII, signed acknowledgments, vetting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[Director / Coordinator]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[Data governance role]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[IT support]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[All personnel]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[Director / Coordinator]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[Director / Coordinator], must state the data and handling affected, and expire after [period]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[Director / Coordinator].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the three tiers as written and map your data types in the table. The director owns labeling. A single shared drive with folders per tier is enough to start.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data governance role keeps the mapping current and reviews labels when data is shared with other county departments.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Enforce labels in the systems that support them and tie classification to encryption and retention controls. Review the mapping on a set schedule.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if this policy touches CJIS-regulated data (in Indiana, typically via IDACS). Do not restate the CJIS Security Policy; reference it. Delete if not applicable.»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24-4.9: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The classification table ships with example data-type mappings. The Agency confirms which of its data types fall in each tier.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Tiers align to the NENA NG-SEC taxonomy (Internal, Restricted, Confidential); “Public” is not used in this library.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Cross-referenced artifacts use their Tracker names: Asset Criticality Ranking Matrix, Data Access Monitoring Policy, Document Handling Standard, Data Inventory / Data Map, Data Retention Schedule, Secure Disposal Procedures.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