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defines how [Agency Name] personnel and authorized third parties may use the Agency’s systems, networks, and data. It states the conduct expected of every user and the conditions of access. Signing this policy is a condition of being granted access to any Agency system.</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including full-time and part-time dispatchers, supervisors, and administrative staff, and any contractor or vendor personnel granted access to Agency systems, networks, or data.</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all systems, networks, applications, devices, and data the Agency owns or operates for 9-1-1 call handling and dispatch, including use on Agency-owned and personally owned devices that connect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[list any systems or data outside this policy.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the Agency.</w:t>
      </w:r>
    </w:p>
    <w:p>
      <w:pPr>
        <w:spacing w:after="120" w:before="0"/>
      </w:pPr>
      <w:r>
        <w:rPr>
          <w:rFonts w:ascii="Aptos" w:cs="Aptos" w:eastAsia="Aptos" w:hAnsi="Aptos"/>
          <w:b w:val="false"/>
          <w:bCs w:val="false"/>
          <w:i w:val="false"/>
          <w:iCs w:val="false"/>
          <w:sz w:val="24"/>
          <w:szCs w:val="24"/>
        </w:rPr>
        <w:t xml:space="preserve">Acceptable use: use of Agency systems and data for the Agency’s official public-safety functions and for any limited purpose the Agency permits in writing.</w:t>
      </w:r>
    </w:p>
    <w:p>
      <w:pPr>
        <w:pStyle w:val="Heading2"/>
        <w:spacing w:after="100" w:before="220"/>
      </w:pPr>
      <w:r>
        <w:rPr>
          <w:rFonts w:ascii="Aptos" w:cs="Aptos" w:eastAsia="Aptos" w:hAnsi="Aptos"/>
          <w:b/>
          <w:bCs/>
          <w:color w:val="1B3A5C"/>
          <w:sz w:val="26"/>
          <w:szCs w:val="26"/>
        </w:rPr>
        <w:t xml:space="preserve">4. Rules of Behavior</w:t>
      </w:r>
    </w:p>
    <w:p>
      <w:pPr>
        <w:spacing w:after="140"/>
      </w:pPr>
      <w:r>
        <w:rPr>
          <w:rFonts w:ascii="Aptos" w:cs="Aptos" w:eastAsia="Aptos" w:hAnsi="Aptos"/>
          <w:i/>
          <w:iCs/>
          <w:color w:val="595959"/>
          <w:sz w:val="24"/>
          <w:szCs w:val="24"/>
        </w:rPr>
        <w:t xml:space="preserve">«The enforceable conduct rules, as numbered statements. Use "The Agency shall…" / "Personnel shall…". One rule per statement. These rules are reused in onboarding and refresher training.»</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grant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protect their account credentials, shall not share passwords or authentication devices, and shall report a suspected credential compromise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lock or log off an unattended session and shall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use Agency systems and data only for authorized public-safety purposes. [State any limited personal use the Agency permits, or write "No personal use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not connect a personal device to Agency systems or store Agency data on a personal device unless the Agency authorizes it in writing and the device meets Agency security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handle all data according to its classification and shall not disclose sensitive or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not install unapproved software, disable a security control, or attempt to bypass an access restriction.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reach Agency systems remotely only through Agency-approved methods, and shall not use untrusted networks except through those methods.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shall follow the Social Media and External Communications Policy when referencing the Agency or its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[Add Agency-specific rules.]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40"/>
      </w:pPr>
      <w:r>
        <w:rPr>
          <w:rFonts w:ascii="Aptos" w:cs="Aptos" w:eastAsia="Aptos" w:hAnsi="Aptos"/>
          <w:i/>
          <w:iCs/>
          <w:color w:val="595959"/>
          <w:sz w:val="24"/>
          <w:szCs w:val="24"/>
        </w:rPr>
        <w:t xml:space="preserve">«The approved banner text, where it is displayed, and how consent is recorded. Keep the banner short and show it before access is granted.»</w:t>
      </w:r>
    </w:p>
    <w:p>
      <w:pPr>
        <w:spacing w:after="120" w:before="0"/>
      </w:pPr>
      <w:r>
        <w:rPr>
          <w:rFonts w:ascii="Aptos" w:cs="Aptos" w:eastAsia="Aptos" w:hAnsi="Aptos"/>
          <w:b w:val="false"/>
          <w:bCs w:val="false"/>
          <w:i w:val="false"/>
          <w:iCs w:val="false"/>
          <w:sz w:val="24"/>
          <w:szCs w:val="24"/>
        </w:rPr>
        <w:t xml:space="preserve">Agency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[Approved banner text. Example: "This is a [Agency Name]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applies to [list the systems and access points, such as dispatch consoles, administrative workstations, remote-access portals, and VPN]. Where a system supports it, the Agency records each user’s acknowledgment of the banner, and banner confirmations are retained with system logs. Where a system cannot display a banner, the Agency posts the notice at the point of access and records that each user has read it.</w:t>
      </w:r>
    </w:p>
    <w:p>
      <w:pPr>
        <w:pStyle w:val="Heading2"/>
        <w:spacing w:after="100" w:before="220"/>
      </w:pPr>
      <w:r>
        <w:rPr>
          <w:rFonts w:ascii="Aptos" w:cs="Aptos" w:eastAsia="Aptos" w:hAnsi="Aptos"/>
          <w:b/>
          <w:bCs/>
          <w:color w:val="1B3A5C"/>
          <w:sz w:val="26"/>
          <w:szCs w:val="26"/>
        </w:rPr>
        <w:t xml:space="preserve">6. User Acknowledgment</w:t>
      </w:r>
    </w:p>
    <w:p>
      <w:pPr>
        <w:spacing w:after="140"/>
      </w:pPr>
      <w:r>
        <w:rPr>
          <w:rFonts w:ascii="Aptos" w:cs="Aptos" w:eastAsia="Aptos" w:hAnsi="Aptos"/>
          <w:i/>
          <w:iCs/>
          <w:color w:val="595959"/>
          <w:sz w:val="24"/>
          <w:szCs w:val="24"/>
        </w:rPr>
        <w:t xml:space="preserve">«How users sign this policy before access, and where signed records are kept. Reference the records; do not restate them.»</w:t>
      </w:r>
    </w:p>
    <w:p>
      <w:pPr>
        <w:spacing w:after="120" w:before="0"/>
      </w:pPr>
      <w:r>
        <w:rPr>
          <w:rFonts w:ascii="Aptos" w:cs="Aptos" w:eastAsia="Aptos" w:hAnsi="Aptos"/>
          <w:b w:val="false"/>
          <w:bCs w:val="false"/>
          <w:i w:val="false"/>
          <w:iCs w:val="false"/>
          <w:sz w:val="24"/>
          <w:szCs w:val="24"/>
        </w:rPr>
        <w:t xml:space="preserve">Every user signs this policy before the Agency grants access to any system, signs again at least once a year, and signs whenever the policy changes materially. The Agency does not enable an account until the signed acknowledgment is on file. Signed acknowledgments are kept in the Signed Acknowledgment Records, and completion and renewals are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the banner text, and confirms that access is not granted before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login banner on Agency systems, enforces credential, device, and remote-access controls, and enables accounts only after acknowledgment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conduct rules on shift and reports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Collects signed acknowledgments before access and tracks annual renewals.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suspected misuse.</w:t>
            </w:r>
          </w:p>
        </w:tc>
      </w:tr>
    </w:tbl>
    <w:p>
      <w:pPr>
        <w:pStyle w:val="Heading2"/>
        <w:spacing w:after="100" w:before="220"/>
      </w:pPr>
      <w:r>
        <w:rPr>
          <w:rFonts w:ascii="Aptos" w:cs="Aptos" w:eastAsia="Aptos" w:hAnsi="Aptos"/>
          <w:b/>
          <w:bCs/>
          <w:color w:val="1B3A5C"/>
          <w:sz w:val="26"/>
          <w:szCs w:val="26"/>
        </w:rPr>
        <w:t xml:space="preserve">8.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Compliance is monitored through system logs, banner confirmations, and supervisory review. A violation is handled under the Agency’s corrective and disciplinary process and may result in suspension of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Each exception states what is permitted, who approved it, and an expiry date, and is reviewed at least annually.</w:t>
      </w:r>
    </w:p>
    <w:p>
      <w:pPr>
        <w:pStyle w:val="Heading2"/>
        <w:spacing w:after="100" w:before="220"/>
      </w:pPr>
      <w:r>
        <w:rPr>
          <w:rFonts w:ascii="Aptos" w:cs="Aptos" w:eastAsia="Aptos" w:hAnsi="Aptos"/>
          <w:b/>
          <w:bCs/>
          <w:color w:val="1B3A5C"/>
          <w:sz w:val="26"/>
          <w:szCs w:val="26"/>
        </w:rPr>
        <w:t xml:space="preserve">10.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Agency systems or applicable law,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The director collects signed acknowledgments on paper or by email and keeps them in one file. Where a system cannot show a login banner, post the notice at the console and record that each user has read it.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coordinator tracks acknowledgments and renewals for all staff and contractors. County IT configures the banner on shared systems.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Acknowledgment is collected and tracked in the onboarding system. Banners are enforced on every endpoint and remote-access portal, and banner confirmations are logged centrally.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carrying CJIS-regulated data, reached in Indiana through IDACS. Apply CJIS Security Policy v5.9 §5.5 and the security-awareness requirements in addition to the rules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 (where IDACS is in scope)</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(internal, delete before publishing)</w:t>
            </w:r>
          </w:p>
          <w:p>
            <w:r>
              <w:rPr>
                <w:rFonts w:ascii="Aptos" w:cs="Aptos" w:eastAsia="Aptos" w:hAnsi="Aptos"/>
                <w:sz w:val="24"/>
                <w:szCs w:val="24"/>
              </w:rPr>
              <w:t xml:space="preserve">Confirm the approved banner text and the exact systems/access points where it is displayed (Section 5).</w:t>
            </w:r>
          </w:p>
          <w:p>
            <w:r>
              <w:rPr>
                <w:rFonts w:ascii="Aptos" w:cs="Aptos" w:eastAsia="Aptos" w:hAnsi="Aptos"/>
                <w:sz w:val="24"/>
                <w:szCs w:val="24"/>
              </w:rPr>
              <w:t xml:space="preserve">Confirm whether any limited personal use is permitted (Rule 4) and who holds exception authority (Section 9).</w:t>
            </w:r>
          </w:p>
          <w:p>
            <w:r>
              <w:rPr>
                <w:rFonts w:ascii="Aptos" w:cs="Aptos" w:eastAsia="Aptos" w:hAnsi="Aptos"/>
                <w:sz w:val="24"/>
                <w:szCs w:val="24"/>
              </w:rPr>
              <w:t xml:space="preserve">Confirm NENA-STA-040.2-2024 clause mapping against the agency’s NG9-1-1 deployment.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