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this record. Your agency may raise this but not lower it. Raise to Confidential when entries name individuals or carry PII.»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template is ready to adopt. Replace every [BRACKETED] field per meeting,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line each. This is the recurring leadership security review. Record when and where it met and the cadence it follows.»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[start] to [end]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[room / video bridge]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[e.g., Quarterly Leadership Security Review]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«List everyone present and their role. Names are expected here; this is a record, not a brand-free policy. Mark absences.»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[name]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/ title]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[Y/N]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[name]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/ title]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[Y/N]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[name]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/ title]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[Y/N]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leadership reviewed. Keep each line short; attach detail rather than restating it.»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[summary of where the program stands].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[key metrics and trend since last review].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[top risks and any change in priority].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[emerging threats or intelligence briefed to leadership].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decision leadership made and the priorities set for the next period. One per line.»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[decision or priority].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[decision or priority].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action, the role that owns it, and when it is due. Mirror items that carry risk into the Risk / Finding Register (POA&amp;M).»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[Open]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«Date and focus of the next scheduled review.»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[date]. Focus: [topic].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«State how long these minutes are retained and where, per the Document Handling Standard.»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[period], stored [location].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(2021):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[Recorded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[Chair / presiding official]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record evidences that senior leaders review the program and emerging threats on a set cadence (satisfies assessment question 1A-3). Names are expected in the Attendees and Sign-off blocks; classified Restricted, raised to Confidential if minutes capture PII or sensitive incident detail. Cross-referenced artifacts use their Tracker names: Risk / Finding Register (POA&amp;M), Threat Intelligence Routing &amp; Distribution Matrix, Board / Leadership Security Reporting Template. Confirm the NENA-STA-040.2-2024 section (§4.1.1) against the standard in force.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