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Password &amp; Authentication Policy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sz w:val="24"/>
                <w:szCs w:val="24"/>
              </w:rPr>
              <w:t xml:space="preserve">Authority: </w:t>
            </w:r>
            <w:r>
              <w:rPr>
                <w:rFonts w:ascii="Aptos" w:cs="Aptos" w:eastAsia="Aptos" w:hAnsi="Aptos"/>
                <w:b w:val="false"/>
                <w:bCs w:val="false"/>
                <w:i w:val="false"/>
                <w:iCs w:val="false"/>
                <w:sz w:val="24"/>
                <w:szCs w:val="24"/>
              </w:rPr>
              <w:t xml:space="preserve">Adopted by </w:t>
            </w:r>
            <w:r>
              <w:rPr>
                <w:rFonts w:ascii="Aptos" w:cs="Aptos" w:eastAsia="Aptos" w:hAnsi="Aptos"/>
                <w:b/>
                <w:bCs/>
                <w:i w:val="false"/>
                <w:iCs w:val="false"/>
                <w:sz w:val="24"/>
                <w:szCs w:val="24"/>
              </w:rPr>
              <w:t xml:space="preserve">{agencyName}</w:t>
            </w:r>
            <w:r>
              <w:rPr>
                <w:rFonts w:ascii="Aptos" w:cs="Aptos" w:eastAsia="Aptos" w:hAnsi="Aptos"/>
                <w:b w:val="false"/>
                <w:bCs w:val="false"/>
                <w:i w:val="false"/>
                <w:iCs w:val="false"/>
                <w:sz w:val="24"/>
                <w:szCs w:val="24"/>
              </w:rPr>
              <w:t xml:space="preserve"> under the authority of </w:t>
            </w:r>
            <w:r>
              <w:rPr>
                <w:rFonts w:ascii="Aptos" w:cs="Aptos" w:eastAsia="Aptos" w:hAnsi="Aptos"/>
                <w:b/>
                <w:bCs/>
                <w:i w:val="false"/>
                <w:iCs w:val="false"/>
                <w:sz w:val="24"/>
                <w:szCs w:val="24"/>
              </w:rPr>
              <w:t xml:space="preserve">{signingOfficialTitle}</w:t>
            </w:r>
            <w:r>
              <w:rPr>
                <w:rFonts w:ascii="Aptos" w:cs="Aptos" w:eastAsia="Aptos" w:hAnsi="Aptos"/>
                <w:b w:val="false"/>
                <w:bCs w:val="false"/>
                <w:i w:val="false"/>
                <w:iCs w:val="false"/>
                <w:sz w:val="24"/>
                <w:szCs w:val="24"/>
              </w:rPr>
              <w:t xml:space="preserve">.</w:t>
            </w:r>
          </w:p>
          <w:p>
            <w:pPr>
              <w:spacing w:after="60"/>
            </w:pPr>
            <w:r>
              <w:rPr>
                <w:rFonts w:ascii="Aptos" w:cs="Aptos" w:eastAsia="Aptos" w:hAnsi="Aptos"/>
                <w:b/>
                <w:bCs/>
                <w:i w:val="false"/>
                <w:iCs w:val="false"/>
                <w:sz w:val="24"/>
                <w:szCs w:val="24"/>
              </w:rPr>
              <w:t xml:space="preserve">Version: </w:t>
            </w:r>
            <w:r>
              <w:rPr>
                <w:rFonts w:ascii="Aptos" w:cs="Aptos" w:eastAsia="Aptos" w:hAnsi="Aptos"/>
                <w:b w:val="false"/>
                <w:bCs w:val="false"/>
                <w:i w:val="false"/>
                <w:iCs w:val="false"/>
                <w:sz w:val="24"/>
                <w:szCs w:val="24"/>
              </w:rPr>
              <w:t xml:space="preserve">{version}    </w:t>
            </w:r>
            <w:r>
              <w:rPr>
                <w:rFonts w:ascii="Aptos" w:cs="Aptos" w:eastAsia="Aptos" w:hAnsi="Aptos"/>
                <w:b/>
                <w:bCs/>
                <w:i w:val="false"/>
                <w:iCs w:val="false"/>
                <w:sz w:val="24"/>
                <w:szCs w:val="24"/>
              </w:rPr>
              <w:t xml:space="preserve">Effective Date: </w:t>
            </w:r>
            <w:r>
              <w:rPr>
                <w:rFonts w:ascii="Aptos" w:cs="Aptos" w:eastAsia="Aptos" w:hAnsi="Aptos"/>
                <w:b w:val="false"/>
                <w:bCs w:val="false"/>
                <w:i w:val="false"/>
                <w:iCs w:val="false"/>
                <w:sz w:val="24"/>
                <w:szCs w:val="24"/>
              </w:rPr>
              <w:t xml:space="preserve">{effectiveDate}    </w:t>
            </w:r>
            <w:r>
              <w:rPr>
                <w:rFonts w:ascii="Aptos" w:cs="Aptos" w:eastAsia="Aptos" w:hAnsi="Aptos"/>
                <w:b/>
                <w:bCs/>
                <w:i w:val="false"/>
                <w:iCs w:val="false"/>
                <w:sz w:val="24"/>
                <w:szCs w:val="24"/>
              </w:rPr>
              <w:t xml:space="preserve">Next Review: </w:t>
            </w:r>
            <w:r>
              <w:rPr>
                <w:rFonts w:ascii="Aptos" w:cs="Aptos" w:eastAsia="Aptos" w:hAnsi="Aptos"/>
                <w:b w:val="false"/>
                <w:bCs w:val="false"/>
                <w:i w:val="false"/>
                <w:iCs w:val="false"/>
                <w:sz w:val="24"/>
                <w:szCs w:val="24"/>
              </w:rPr>
              <w:t xml:space="preserve">{effectiveDate}</w:t>
            </w:r>
          </w:p>
          <w:p>
            <w:pPr>
              <w:spacing w:after="60"/>
            </w:pPr>
            <w:r>
              <w:rPr>
                <w:rFonts w:ascii="Aptos" w:cs="Aptos" w:eastAsia="Aptos" w:hAnsi="Aptos"/>
                <w:b/>
                <w:bCs/>
                <w:i w:val="false"/>
                <w:iCs w:val="false"/>
                <w:sz w:val="24"/>
                <w:szCs w:val="24"/>
              </w:rPr>
              <w:t xml:space="preserve">Owner: </w:t>
            </w:r>
            <w:r>
              <w:rPr>
                <w:rFonts w:ascii="Aptos" w:cs="Aptos" w:eastAsia="Aptos" w:hAnsi="Aptos"/>
                <w:b w:val="false"/>
                <w:bCs w:val="false"/>
                <w:i w:val="false"/>
                <w:iCs w:val="false"/>
                <w:sz w:val="24"/>
                <w:szCs w:val="24"/>
              </w:rPr>
              <w:t xml:space="preserve">[Role title]   </w:t>
            </w:r>
            <w:r>
              <w:rPr>
                <w:rFonts w:ascii="Aptos" w:cs="Aptos" w:eastAsia="Aptos" w:hAnsi="Aptos"/>
                <w:b w:val="false"/>
                <w:bCs w:val="false"/>
                <w:i/>
                <w:iCs/>
                <w:color w:val="595959"/>
                <w:sz w:val="24"/>
                <w:szCs w:val="24"/>
              </w:rPr>
              <w:t xml:space="preserve">«use a role, not a person’s name.»</w:t>
            </w:r>
          </w:p>
          <w:p>
            <w:pPr>
              <w:spacing w:after="20"/>
            </w:pPr>
            <w:r>
              <w:rPr>
                <w:rFonts w:ascii="Aptos" w:cs="Aptos" w:eastAsia="Aptos" w:hAnsi="Aptos"/>
                <w:b/>
                <w:bCs/>
                <w:i w:val="false"/>
                <w:iCs w:val="false"/>
                <w:sz w:val="24"/>
                <w:szCs w:val="24"/>
              </w:rPr>
              <w:t xml:space="preserve">Classification: </w:t>
            </w:r>
            <w:r>
              <w:rPr>
                <w:rFonts w:ascii="Aptos" w:cs="Aptos" w:eastAsia="Aptos" w:hAnsi="Aptos"/>
                <w:b w:val="false"/>
                <w:bCs w:val="false"/>
                <w:i w:val="false"/>
                <w:iCs w:val="false"/>
                <w:sz w:val="24"/>
                <w:szCs w:val="24"/>
              </w:rPr>
              <w:t>Internal / CJIS</w:t>
            </w:r>
          </w:p>
          <w:p>
            <w:pPr>
              <w:spacing w:after="0"/>
            </w:pPr>
            <w:r>
              <w:rPr>
                <w:rFonts w:ascii="Aptos" w:cs="Aptos" w:eastAsia="Aptos" w:hAnsi="Aptos"/>
                <w:i/>
                <w:iCs/>
                <w:color w:val="595959"/>
                <w:sz w:val="24"/>
                <w:szCs w:val="24"/>
              </w:rPr>
              <w:t>«Minimum for Policy artifacts. Appended “ / CJIS” because authentication to IDACS-reached systems is in scope. Your agency may raise but not lower this.»</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How to use this template (delete this box before publishing)</w:t>
            </w:r>
            <w:r>
              <w:rPr>
                <w:rFonts w:ascii="Aptos" w:cs="Aptos" w:eastAsia="Aptos" w:hAnsi="Aptos"/>
                <w:b w:val="false"/>
                <w:bCs w:val="false"/>
                <w:i/>
                <w:iCs/>
                <w:color w:val="595959"/>
                <w:sz w:val="24"/>
                <w:szCs w:val="24"/>
              </w:rPr>
            </w:r>
          </w:p>
          <w:p>
            <w:pPr>
              <w:spacing w:after="140"/>
            </w:pPr>
            <w:r>
              <w:rPr>
                <w:rFonts w:ascii="Aptos" w:cs="Aptos" w:eastAsia="Aptos" w:hAnsi="Aptos"/>
                <w:i/>
                <w:iCs/>
                <w:color w:val="595959"/>
                <w:sz w:val="24"/>
                <w:szCs w:val="24"/>
              </w:rPr>
              <w:t>This policy sets how credentials are issued, used, protected, and retired across the Agency's systems. Replace every [BRACKETED] field, follow the « » guidance, and delete every « » note and this box before you publish.</w:t>
            </w:r>
          </w:p>
          <w:p>
            <w:pPr>
              <w:spacing w:after="0"/>
            </w:pPr>
            <w:r>
              <w:rPr>
                <w:rFonts w:ascii="Aptos" w:cs="Aptos" w:eastAsia="Aptos" w:hAnsi="Aptos"/>
                <w:b/>
                <w:bCs/>
                <w:i w:val="false"/>
                <w:iCs w:val="false"/>
                <w:sz w:val="24"/>
                <w:szCs w:val="24"/>
              </w:rPr>
              <w:t xml:space="preserve">Placeholder key: </w:t>
            </w:r>
            <w:r>
              <w:rPr>
                <w:rFonts w:ascii="Aptos" w:cs="Aptos" w:eastAsia="Aptos" w:hAnsi="Aptos"/>
                <w:b w:val="false"/>
                <w:bCs w:val="false"/>
                <w:i w:val="false"/>
                <w:iCs w:val="false"/>
                <w:sz w:val="24"/>
                <w:szCs w:val="24"/>
              </w:rPr>
              <w:t xml:space="preserve">[BRACKETED]</w:t>
            </w:r>
            <w:r>
              <w:rPr>
                <w:rFonts w:ascii="Aptos" w:cs="Aptos" w:eastAsia="Aptos" w:hAnsi="Aptos"/>
                <w:b w:val="false"/>
                <w:bCs w:val="false"/>
                <w:i w:val="false"/>
                <w:iCs w:val="false"/>
                <w:sz w:val="24"/>
                <w:szCs w:val="24"/>
              </w:rPr>
              <w:t xml:space="preserve"> = fill in   ·   </w:t>
            </w:r>
            <w:r>
              <w:rPr>
                <w:rFonts w:ascii="Aptos" w:cs="Aptos" w:eastAsia="Aptos" w:hAnsi="Aptos"/>
                <w:b/>
                <w:bCs/>
                <w:i w:val="false"/>
                <w:iCs w:val="false"/>
                <w:sz w:val="24"/>
                <w:szCs w:val="24"/>
              </w:rPr>
              <w:t xml:space="preserve">[REQUIRED]</w:t>
            </w:r>
            <w:r>
              <w:rPr>
                <w:rFonts w:ascii="Aptos" w:cs="Aptos" w:eastAsia="Aptos" w:hAnsi="Aptos"/>
                <w:b w:val="false"/>
                <w:bCs w:val="false"/>
                <w:i w:val="false"/>
                <w:iCs w:val="false"/>
                <w:sz w:val="24"/>
                <w:szCs w:val="24"/>
              </w:rPr>
              <w:t xml:space="preserve"> (bold) = required field   ·   </w:t>
            </w:r>
            <w:r>
              <w:rPr>
                <w:rFonts w:ascii="Aptos" w:cs="Aptos" w:eastAsia="Aptos" w:hAnsi="Aptos"/>
                <w:b w:val="false"/>
                <w:bCs w:val="false"/>
                <w:i/>
                <w:iCs/>
                <w:color w:val="595959"/>
                <w:sz w:val="24"/>
                <w:szCs w:val="24"/>
              </w:rPr>
              <w:t xml:space="preserve">« »</w:t>
            </w:r>
            <w:r>
              <w:rPr>
                <w:rFonts w:ascii="Aptos" w:cs="Aptos" w:eastAsia="Aptos" w:hAnsi="Aptos"/>
                <w:b w:val="false"/>
                <w:bCs w:val="false"/>
                <w:i w:val="false"/>
                <w:iCs w:val="false"/>
                <w:sz w:val="24"/>
                <w:szCs w:val="24"/>
              </w:rPr>
              <w:t xml:space="preserve"> = guidance to delete.</w:t>
            </w:r>
          </w:p>
          <w:p>
            <w:pPr>
              <w:spacing w:after="140"/>
            </w:pPr>
            <w:r>
              <w:rPr>
                <w:rFonts w:ascii="Aptos" w:cs="Aptos" w:eastAsia="Aptos" w:hAnsi="Aptos"/>
                <w:i/>
                <w:iCs/>
                <w:color w:val="595959"/>
                <w:sz w:val="24"/>
                <w:szCs w:val="24"/>
              </w:rPr>
              <w:t>Keep the body director-readable. Specific thresholds and enforcement settings belong in the Agency's configuration baselines and the MFA Implementation Record, not in this policy.</w:t>
            </w:r>
          </w:p>
        </w:tc>
      </w:tr>
    </w:tbl>
    <w:p>
      <w:pPr>
        <w:pStyle w:val="Heading2"/>
        <w:spacing w:after="100" w:before="220"/>
      </w:pPr>
      <w:r>
        <w:rPr>
          <w:rFonts w:ascii="Aptos" w:cs="Aptos" w:eastAsia="Aptos" w:hAnsi="Aptos"/>
          <w:b/>
          <w:bCs/>
          <w:color w:val="1B3A5C"/>
          <w:sz w:val="26"/>
          <w:szCs w:val="26"/>
        </w:rPr>
        <w:t xml:space="preserve">1. Purpose</w:t>
      </w:r>
    </w:p>
    <w:p>
      <w:pPr>
        <w:spacing w:after="140"/>
      </w:pPr>
      <w:r>
        <w:rPr>
          <w:rFonts w:ascii="Aptos" w:cs="Aptos" w:eastAsia="Aptos" w:hAnsi="Aptos"/>
          <w:i/>
          <w:iCs/>
          <w:color w:val="595959"/>
          <w:sz w:val="24"/>
          <w:szCs w:val="24"/>
        </w:rPr>
        <w:t xml:space="preserve">«Two or three sentences: what this policy governs and why the Agency maintains it. Name the outcome, not the activity.»</w:t>
      </w:r>
    </w:p>
    <w:p>
      <w:pPr>
        <w:spacing w:after="120" w:before="0"/>
      </w:pPr>
      <w:r>
        <w:rPr>
          <w:rFonts w:ascii="Aptos" w:cs="Aptos" w:eastAsia="Aptos" w:hAnsi="Aptos"/>
          <w:b w:val="false"/>
          <w:bCs w:val="false"/>
          <w:i w:val="false"/>
          <w:iCs w:val="false"/>
          <w:sz w:val="24"/>
          <w:szCs w:val="24"/>
        </w:rPr>
        <w:t>This policy sets how credentials are issued, used, protected, and retired across the Agency's systems, so that every action on a system traces to a verified, uniquely identified user. It defines the authentication strength required to protect 9-1-1 call handling, dispatch, and the data behind them.</w:t>
      </w:r>
    </w:p>
    <w:p>
      <w:pPr>
        <w:pStyle w:val="Heading2"/>
        <w:spacing w:after="100" w:before="220"/>
      </w:pPr>
      <w:r>
        <w:rPr>
          <w:rFonts w:ascii="Aptos" w:cs="Aptos" w:eastAsia="Aptos" w:hAnsi="Aptos"/>
          <w:b/>
          <w:bCs/>
          <w:color w:val="1B3A5C"/>
          <w:sz w:val="26"/>
          <w:szCs w:val="26"/>
        </w:rPr>
        <w:t xml:space="preserve">2. Scope</w:t>
      </w:r>
    </w:p>
    <w:p>
      <w:pPr>
        <w:spacing w:after="140"/>
      </w:pPr>
      <w:r>
        <w:rPr>
          <w:rFonts w:ascii="Aptos" w:cs="Aptos" w:eastAsia="Aptos" w:hAnsi="Aptos"/>
          <w:i/>
          <w:iCs/>
          <w:color w:val="595959"/>
          <w:sz w:val="24"/>
          <w:szCs w:val="24"/>
        </w:rPr>
        <w:t xml:space="preserve">«Who and what the policy covers, and what it excludes. State exclusions explicitly.»</w:t>
      </w:r>
    </w:p>
    <w:p>
      <w:pPr>
        <w:pStyle w:val="ListParagraph"/>
        <w:numPr>
          <w:ilvl w:val="0"/>
          <w:numId w:val="2"/>
        </w:numPr>
        <w:spacing w:after="60"/>
      </w:pPr>
      <w:r>
        <w:rPr>
          <w:rFonts w:ascii="Aptos" w:cs="Aptos" w:eastAsia="Aptos" w:hAnsi="Aptos"/>
          <w:b w:val="false"/>
          <w:bCs w:val="false"/>
          <w:i w:val="false"/>
          <w:iCs w:val="false"/>
          <w:sz w:val="24"/>
          <w:szCs w:val="24"/>
        </w:rPr>
        <w:t>Applies to: all Agency personnel, contractors, and vendor accounts that authenticate to Agency systems.</w:t>
      </w:r>
    </w:p>
    <w:p>
      <w:pPr>
        <w:pStyle w:val="ListParagraph"/>
        <w:numPr>
          <w:ilvl w:val="0"/>
          <w:numId w:val="2"/>
        </w:numPr>
        <w:spacing w:after="60"/>
      </w:pPr>
      <w:r>
        <w:rPr>
          <w:rFonts w:ascii="Aptos" w:cs="Aptos" w:eastAsia="Aptos" w:hAnsi="Aptos"/>
          <w:b w:val="false"/>
          <w:bCs w:val="false"/>
          <w:i w:val="false"/>
          <w:iCs w:val="false"/>
          <w:sz w:val="24"/>
          <w:szCs w:val="24"/>
        </w:rPr>
        <w:t>Covers: every account type (user, administrative, service, cloud, vendor, and remote) on all Agency systems, including systems reached through IDACS.</w:t>
      </w:r>
    </w:p>
    <w:p>
      <w:pPr>
        <w:pStyle w:val="ListParagraph"/>
        <w:numPr>
          <w:ilvl w:val="0"/>
          <w:numId w:val="2"/>
        </w:numPr>
        <w:spacing w:after="60"/>
      </w:pPr>
      <w:r>
        <w:rPr>
          <w:rFonts w:ascii="Aptos" w:cs="Aptos" w:eastAsia="Aptos" w:hAnsi="Aptos"/>
          <w:b w:val="false"/>
          <w:bCs w:val="false"/>
          <w:i w:val="false"/>
          <w:iCs w:val="false"/>
          <w:sz w:val="24"/>
          <w:szCs w:val="24"/>
        </w:rPr>
        <w:t>Excludes: [public information systems that hold no Agency or CJIS data, if any].</w:t>
      </w:r>
    </w:p>
    <w:p>
      <w:pPr>
        <w:pStyle w:val="Heading2"/>
        <w:spacing w:after="100" w:before="220"/>
      </w:pPr>
      <w:r>
        <w:rPr>
          <w:rFonts w:ascii="Aptos" w:cs="Aptos" w:eastAsia="Aptos" w:hAnsi="Aptos"/>
          <w:b/>
          <w:bCs/>
          <w:color w:val="1B3A5C"/>
          <w:sz w:val="26"/>
          <w:szCs w:val="26"/>
        </w:rPr>
        <w:t xml:space="preserve">3. Definitions</w:t>
      </w:r>
    </w:p>
    <w:p>
      <w:pPr>
        <w:spacing w:after="140"/>
      </w:pPr>
      <w:r>
        <w:rPr>
          <w:rFonts w:ascii="Aptos" w:cs="Aptos" w:eastAsia="Aptos" w:hAnsi="Aptos"/>
          <w:i/>
          <w:iCs/>
          <w:color w:val="595959"/>
          <w:sz w:val="24"/>
          <w:szCs w:val="24"/>
        </w:rPr>
        <w:t xml:space="preserve">«Optional. Include only terms this policy uses with a narrower meaning than common usage. Do not define common operational terms (CAD, RMS, ESInet, dispatcher). Delete this section if not needed.»</w:t>
      </w:r>
    </w:p>
    <w:p>
      <w:pPr>
        <w:spacing w:after="120" w:before="0"/>
      </w:pPr>
      <w:r>
        <w:rPr>
          <w:rFonts w:ascii="Aptos" w:cs="Aptos" w:eastAsia="Aptos" w:hAnsi="Aptos"/>
          <w:b w:val="false"/>
          <w:bCs w:val="false"/>
          <w:i w:val="false"/>
          <w:iCs w:val="false"/>
          <w:sz w:val="24"/>
          <w:szCs w:val="24"/>
        </w:rPr>
        <w:t>Strong authentication: a method that combines two or more independent factors, such as a password plus a hardware token, certificate, or authenticator app.</w:t>
      </w:r>
    </w:p>
    <w:p>
      <w:pPr>
        <w:spacing w:after="120" w:before="0"/>
      </w:pPr>
      <w:r>
        <w:rPr>
          <w:rFonts w:ascii="Aptos" w:cs="Aptos" w:eastAsia="Aptos" w:hAnsi="Aptos"/>
          <w:b w:val="false"/>
          <w:bCs w:val="false"/>
          <w:i w:val="false"/>
          <w:iCs w:val="false"/>
          <w:sz w:val="24"/>
          <w:szCs w:val="24"/>
        </w:rPr>
        <w:t>Service account: a non-human account used by a system or application, not by a person.</w:t>
      </w:r>
    </w:p>
    <w:p>
      <w:pPr>
        <w:pStyle w:val="Heading2"/>
        <w:spacing w:after="100" w:before="220"/>
      </w:pPr>
      <w:r>
        <w:rPr>
          <w:rFonts w:ascii="Aptos" w:cs="Aptos" w:eastAsia="Aptos" w:hAnsi="Aptos"/>
          <w:b/>
          <w:bCs/>
          <w:color w:val="1B3A5C"/>
          <w:sz w:val="26"/>
          <w:szCs w:val="26"/>
        </w:rPr>
        <w:t xml:space="preserve">4. Policy Statement</w:t>
      </w:r>
    </w:p>
    <w:p>
      <w:pPr>
        <w:spacing w:after="140"/>
      </w:pPr>
      <w:r>
        <w:rPr>
          <w:rFonts w:ascii="Aptos" w:cs="Aptos" w:eastAsia="Aptos" w:hAnsi="Aptos"/>
          <w:i/>
          <w:iCs/>
          <w:color w:val="595959"/>
          <w:sz w:val="24"/>
          <w:szCs w:val="24"/>
        </w:rPr>
        <w:t xml:space="preserve">«The enforceable core, as numbered statements. Use “The Agency shall…” / “Personnel are responsible for…”. One requirement per statement.»</w:t>
      </w:r>
    </w:p>
    <w:p>
      <w:pPr>
        <w:pStyle w:val="ListParagraph"/>
        <w:numPr>
          <w:ilvl w:val="0"/>
          <w:numId w:val="3"/>
        </w:numPr>
        <w:spacing w:after="60"/>
      </w:pPr>
      <w:r>
        <w:rPr>
          <w:rFonts w:ascii="Aptos" w:cs="Aptos" w:eastAsia="Aptos" w:hAnsi="Aptos"/>
          <w:b w:val="false"/>
          <w:bCs w:val="false"/>
          <w:i w:val="false"/>
          <w:iCs w:val="false"/>
          <w:sz w:val="24"/>
          <w:szCs w:val="24"/>
        </w:rPr>
        <w:t>Each user is issued unique credentials. Shared or group logins are not permitted except for documented service accounts governed by the Privileged Access Management Policy.</w:t>
      </w:r>
    </w:p>
    <w:p>
      <w:pPr>
        <w:pStyle w:val="ListParagraph"/>
        <w:numPr>
          <w:ilvl w:val="0"/>
          <w:numId w:val="3"/>
        </w:numPr>
        <w:spacing w:after="60"/>
      </w:pPr>
      <w:r>
        <w:rPr>
          <w:rFonts w:ascii="Aptos" w:cs="Aptos" w:eastAsia="Aptos" w:hAnsi="Aptos"/>
          <w:b w:val="false"/>
          <w:bCs w:val="false"/>
          <w:i w:val="false"/>
          <w:iCs w:val="false"/>
          <w:sz w:val="24"/>
          <w:szCs w:val="24"/>
        </w:rPr>
        <w:t>Each person's identity is verified through a documented process before credentials are issued.</w:t>
      </w:r>
    </w:p>
    <w:p>
      <w:pPr>
        <w:pStyle w:val="ListParagraph"/>
        <w:numPr>
          <w:ilvl w:val="0"/>
          <w:numId w:val="3"/>
        </w:numPr>
        <w:spacing w:after="60"/>
      </w:pPr>
      <w:r>
        <w:rPr>
          <w:rFonts w:ascii="Aptos" w:cs="Aptos" w:eastAsia="Aptos" w:hAnsi="Aptos"/>
          <w:b w:val="false"/>
          <w:bCs w:val="false"/>
          <w:i w:val="false"/>
          <w:iCs w:val="false"/>
          <w:sz w:val="24"/>
          <w:szCs w:val="24"/>
        </w:rPr>
        <w:t>Passwords meet the Agency's minimum length and complexity standard, enforced technically wherever the system allows.</w:t>
      </w:r>
    </w:p>
    <w:p>
      <w:pPr>
        <w:pStyle w:val="ListParagraph"/>
        <w:numPr>
          <w:ilvl w:val="0"/>
          <w:numId w:val="3"/>
        </w:numPr>
        <w:spacing w:after="60"/>
      </w:pPr>
      <w:r>
        <w:rPr>
          <w:rFonts w:ascii="Aptos" w:cs="Aptos" w:eastAsia="Aptos" w:hAnsi="Aptos"/>
          <w:b w:val="false"/>
          <w:bCs w:val="false"/>
          <w:i w:val="false"/>
          <w:iCs w:val="false"/>
          <w:sz w:val="24"/>
          <w:szCs w:val="24"/>
        </w:rPr>
        <w:t>Credentials are rotated on a defined cycle and immediately on suspected compromise or on a change of role or employment.</w:t>
      </w:r>
    </w:p>
    <w:p>
      <w:pPr>
        <w:pStyle w:val="ListParagraph"/>
        <w:numPr>
          <w:ilvl w:val="0"/>
          <w:numId w:val="3"/>
        </w:numPr>
        <w:spacing w:after="60"/>
      </w:pPr>
      <w:r>
        <w:rPr>
          <w:rFonts w:ascii="Aptos" w:cs="Aptos" w:eastAsia="Aptos" w:hAnsi="Aptos"/>
          <w:b w:val="false"/>
          <w:bCs w:val="false"/>
          <w:i w:val="false"/>
          <w:iCs w:val="false"/>
          <w:sz w:val="24"/>
          <w:szCs w:val="24"/>
        </w:rPr>
        <w:t>Weak, reused, and shared passwords are prohibited. Where supported, new passwords are screened against known-compromised lists.</w:t>
      </w:r>
    </w:p>
    <w:p>
      <w:pPr>
        <w:pStyle w:val="ListParagraph"/>
        <w:numPr>
          <w:ilvl w:val="0"/>
          <w:numId w:val="3"/>
        </w:numPr>
        <w:spacing w:after="60"/>
      </w:pPr>
      <w:r>
        <w:rPr>
          <w:rFonts w:ascii="Aptos" w:cs="Aptos" w:eastAsia="Aptos" w:hAnsi="Aptos"/>
          <w:b w:val="false"/>
          <w:bCs w:val="false"/>
          <w:i w:val="false"/>
          <w:iCs w:val="false"/>
          <w:sz w:val="24"/>
          <w:szCs w:val="24"/>
        </w:rPr>
        <w:t>Passwords are stored only as salted hashes, and secrets and keys are vaulted. Credentials are never stored or transmitted in clear text.</w:t>
      </w:r>
    </w:p>
    <w:p>
      <w:pPr>
        <w:pStyle w:val="ListParagraph"/>
        <w:numPr>
          <w:ilvl w:val="0"/>
          <w:numId w:val="3"/>
        </w:numPr>
        <w:spacing w:after="60"/>
      </w:pPr>
      <w:r>
        <w:rPr>
          <w:rFonts w:ascii="Aptos" w:cs="Aptos" w:eastAsia="Aptos" w:hAnsi="Aptos"/>
          <w:b w:val="false"/>
          <w:bCs w:val="false"/>
          <w:i w:val="false"/>
          <w:iCs w:val="false"/>
          <w:sz w:val="24"/>
          <w:szCs w:val="24"/>
        </w:rPr>
        <w:t>Where a password manager is used, it requires a strong master factor (MFA), encrypts stored credentials, and runs only on Agency-approved, secured devices.</w:t>
      </w:r>
    </w:p>
    <w:p>
      <w:pPr>
        <w:pStyle w:val="ListParagraph"/>
        <w:numPr>
          <w:ilvl w:val="0"/>
          <w:numId w:val="3"/>
        </w:numPr>
        <w:spacing w:after="60"/>
      </w:pPr>
      <w:r>
        <w:rPr>
          <w:rFonts w:ascii="Aptos" w:cs="Aptos" w:eastAsia="Aptos" w:hAnsi="Aptos"/>
          <w:b w:val="false"/>
          <w:bCs w:val="false"/>
          <w:i w:val="false"/>
          <w:iCs w:val="false"/>
          <w:sz w:val="24"/>
          <w:szCs w:val="24"/>
        </w:rPr>
        <w:t>Multifactor authentication is required for all accounts and access types (remote, on-premises, and cloud), for both privileged and non-privileged users. Hardware tokens or certificates are used where the system supports them.</w:t>
      </w:r>
    </w:p>
    <w:p>
      <w:pPr>
        <w:pStyle w:val="ListParagraph"/>
        <w:numPr>
          <w:ilvl w:val="0"/>
          <w:numId w:val="3"/>
        </w:numPr>
        <w:spacing w:after="60"/>
      </w:pPr>
      <w:r>
        <w:rPr>
          <w:rFonts w:ascii="Aptos" w:cs="Aptos" w:eastAsia="Aptos" w:hAnsi="Aptos"/>
          <w:b w:val="false"/>
          <w:bCs w:val="false"/>
          <w:i w:val="false"/>
          <w:iCs w:val="false"/>
          <w:sz w:val="24"/>
          <w:szCs w:val="24"/>
        </w:rPr>
        <w:t>Login interfaces lock or throttle after [a set number of] failed attempts, return non-specific error messages, and log failed attempts for monitoring. Default vendor credentials are removed before a system enters production.</w:t>
      </w:r>
    </w:p>
    <w:p>
      <w:pPr>
        <w:pStyle w:val="ListParagraph"/>
        <w:numPr>
          <w:ilvl w:val="0"/>
          <w:numId w:val="3"/>
        </w:numPr>
        <w:spacing w:after="60"/>
      </w:pPr>
      <w:r>
        <w:rPr>
          <w:rFonts w:ascii="Aptos" w:cs="Aptos" w:eastAsia="Aptos" w:hAnsi="Aptos"/>
          <w:b w:val="false"/>
          <w:bCs w:val="false"/>
          <w:i w:val="false"/>
          <w:iCs w:val="false"/>
          <w:sz w:val="24"/>
          <w:szCs w:val="24"/>
        </w:rPr>
        <w:t>Cross-system trusts, such as SAML federation or certificate trusts, are documented in the External Connection Inventory.</w:t>
      </w:r>
    </w:p>
    <w:p>
      <w:pPr>
        <w:pStyle w:val="ListParagraph"/>
        <w:numPr>
          <w:ilvl w:val="0"/>
          <w:numId w:val="3"/>
        </w:numPr>
        <w:spacing w:after="60"/>
      </w:pPr>
      <w:r>
        <w:rPr>
          <w:rFonts w:ascii="Aptos" w:cs="Aptos" w:eastAsia="Aptos" w:hAnsi="Aptos"/>
          <w:b w:val="false"/>
          <w:bCs w:val="false"/>
          <w:i w:val="false"/>
          <w:iCs w:val="false"/>
          <w:sz w:val="24"/>
          <w:szCs w:val="24"/>
        </w:rPr>
        <w:t>Specific values (length, lockout count, rotation interval) and their technical enforcement are recorded in the Agency's configuration baselines and the MFA Implementation Record, not in this policy.</w:t>
      </w:r>
    </w:p>
    <w:p>
      <w:pPr>
        <w:pStyle w:val="ListParagraph"/>
        <w:numPr>
          <w:ilvl w:val="0"/>
          <w:numId w:val="3"/>
        </w:numPr>
        <w:spacing w:after="60"/>
      </w:pPr>
      <w:r>
        <w:rPr>
          <w:rFonts w:ascii="Aptos" w:cs="Aptos" w:eastAsia="Aptos" w:hAnsi="Aptos"/>
          <w:b w:val="false"/>
          <w:bCs w:val="false"/>
          <w:i w:val="false"/>
          <w:iCs w:val="false"/>
          <w:sz w:val="24"/>
          <w:szCs w:val="24"/>
        </w:rPr>
        <w:t>Access to systems reached through IDACS is governed in addition by the CJIS Handling Addendum below.</w:t>
      </w:r>
    </w:p>
    <w:p>
      <w:pPr>
        <w:pStyle w:val="Heading2"/>
        <w:spacing w:after="100" w:before="220"/>
      </w:pPr>
      <w:r>
        <w:rPr>
          <w:rFonts w:ascii="Aptos" w:cs="Aptos" w:eastAsia="Aptos" w:hAnsi="Aptos"/>
          <w:b/>
          <w:bCs/>
          <w:color w:val="1B3A5C"/>
          <w:sz w:val="26"/>
          <w:szCs w:val="26"/>
        </w:rPr>
        <w:t xml:space="preserve">5. Roles &amp; Responsibilities</w:t>
      </w:r>
    </w:p>
    <w:p>
      <w:pPr>
        <w:spacing w:after="140"/>
      </w:pPr>
      <w:r>
        <w:rPr>
          <w:rFonts w:ascii="Aptos" w:cs="Aptos" w:eastAsia="Aptos" w:hAnsi="Aptos"/>
          <w:i/>
          <w:iCs/>
          <w:color w:val="595959"/>
          <w:sz w:val="24"/>
          <w:szCs w:val="24"/>
        </w:rPr>
        <w:t xml:space="preserve">«Each role that carries a duty under this policy and what it owns. Roles, not names.»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Responsibility</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{directorName}</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Owns this policy; approves the credential standard and any exceptions.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[IT support (county / vendor / in-house)]</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Implements and enforces the rules; manages MFA, hashing and vaulting, lockout settings, and removal of default credentials.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[Dispatch supervisor]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Monitors day-to-day compliance and reports shared-credential use or attempts to bypass authentication.</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[All personnel]</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Keep credentials confidential, use only approved password managers, and complete MFA enrollment.</w:t>
            </w:r>
          </w:p>
        </w:tc>
      </w:tr>
    </w:tbl>
    <w:p>
      <w:pPr>
        <w:pStyle w:val="Heading2"/>
        <w:spacing w:after="100" w:before="220"/>
      </w:pPr>
      <w:r>
        <w:rPr>
          <w:rFonts w:ascii="Aptos" w:cs="Aptos" w:eastAsia="Aptos" w:hAnsi="Aptos"/>
          <w:b/>
          <w:bCs/>
          <w:color w:val="1B3A5C"/>
          <w:sz w:val="26"/>
          <w:szCs w:val="26"/>
        </w:rPr>
        <w:t xml:space="preserve">6. Enforcement</w:t>
      </w:r>
    </w:p>
    <w:p>
      <w:pPr>
        <w:spacing w:after="140"/>
      </w:pPr>
      <w:r>
        <w:rPr>
          <w:rFonts w:ascii="Aptos" w:cs="Aptos" w:eastAsia="Aptos" w:hAnsi="Aptos"/>
          <w:i/>
          <w:iCs/>
          <w:color w:val="595959"/>
          <w:sz w:val="24"/>
          <w:szCs w:val="24"/>
        </w:rPr>
        <w:t xml:space="preserve">«How compliance is monitored and what happens on violation. Reference the Agency’s corrective process; do not restate it.»</w:t>
      </w:r>
    </w:p>
    <w:p>
      <w:pPr>
        <w:spacing w:after="120" w:before="0"/>
      </w:pPr>
      <w:r>
        <w:rPr>
          <w:rFonts w:ascii="Aptos" w:cs="Aptos" w:eastAsia="Aptos" w:hAnsi="Aptos"/>
          <w:b w:val="false"/>
          <w:bCs w:val="false"/>
          <w:i w:val="false"/>
          <w:iCs w:val="false"/>
          <w:sz w:val="24"/>
          <w:szCs w:val="24"/>
        </w:rPr>
        <w:t>The {directorName} monitors compliance through periodic account and configuration reviews. Credentials or access that violate this policy are corrected, and repeated violations are handled under the Agency's corrective process.</w:t>
      </w:r>
    </w:p>
    <w:p>
      <w:pPr>
        <w:pStyle w:val="Heading2"/>
        <w:spacing w:after="100" w:before="220"/>
      </w:pPr>
      <w:r>
        <w:rPr>
          <w:rFonts w:ascii="Aptos" w:cs="Aptos" w:eastAsia="Aptos" w:hAnsi="Aptos"/>
          <w:b/>
          <w:bCs/>
          <w:color w:val="1B3A5C"/>
          <w:sz w:val="26"/>
          <w:szCs w:val="26"/>
        </w:rPr>
        <w:t xml:space="preserve">7. Exceptions</w:t>
      </w:r>
    </w:p>
    <w:p>
      <w:pPr>
        <w:spacing w:after="140"/>
      </w:pPr>
      <w:r>
        <w:rPr>
          <w:rFonts w:ascii="Aptos" w:cs="Aptos" w:eastAsia="Aptos" w:hAnsi="Aptos"/>
          <w:i/>
          <w:iCs/>
          <w:color w:val="595959"/>
          <w:sz w:val="24"/>
          <w:szCs w:val="24"/>
        </w:rPr>
        <w:t xml:space="preserve">«Who may grant an exception, how it is requested and recorded, and how long it lasts before review.»</w:t>
      </w:r>
    </w:p>
    <w:p>
      <w:pPr>
        <w:spacing w:after="120" w:before="0"/>
      </w:pPr>
      <w:r>
        <w:rPr>
          <w:rFonts w:ascii="Aptos" w:cs="Aptos" w:eastAsia="Aptos" w:hAnsi="Aptos"/>
          <w:b w:val="false"/>
          <w:bCs w:val="false"/>
          <w:i w:val="false"/>
          <w:iCs w:val="false"/>
          <w:sz w:val="24"/>
          <w:szCs w:val="24"/>
        </w:rPr>
        <w:t>Exceptions require written approval from the {directorName}, must state the system affected and any compensating control, and are recorded in the Risk / Finding Register with a target date. They expire after [period] unless renewed.</w:t>
      </w:r>
    </w:p>
    <w:p>
      <w:pPr>
        <w:pStyle w:val="Heading2"/>
        <w:spacing w:after="100" w:before="220"/>
      </w:pPr>
      <w:r>
        <w:rPr>
          <w:rFonts w:ascii="Aptos" w:cs="Aptos" w:eastAsia="Aptos" w:hAnsi="Aptos"/>
          <w:b/>
          <w:bCs/>
          <w:color w:val="1B3A5C"/>
          <w:sz w:val="26"/>
          <w:szCs w:val="26"/>
        </w:rPr>
        <w:t xml:space="preserve">8. Review Schedule</w:t>
      </w:r>
    </w:p>
    <w:p>
      <w:pPr>
        <w:spacing w:after="140"/>
      </w:pPr>
      <w:r>
        <w:rPr>
          <w:rFonts w:ascii="Aptos" w:cs="Aptos" w:eastAsia="Aptos" w:hAnsi="Aptos"/>
          <w:i/>
          <w:iCs/>
          <w:color w:val="595959"/>
          <w:sz w:val="24"/>
          <w:szCs w:val="24"/>
        </w:rPr>
        <w:t xml:space="preserve">«Review cadence and trigger events (annual at minimum; also on significant change). Name the owning role.»</w:t>
      </w:r>
    </w:p>
    <w:p>
      <w:pPr>
        <w:spacing w:after="120" w:before="0"/>
      </w:pPr>
      <w:r>
        <w:rPr>
          <w:rFonts w:ascii="Aptos" w:cs="Aptos" w:eastAsia="Aptos" w:hAnsi="Aptos"/>
          <w:b w:val="false"/>
          <w:bCs w:val="false"/>
          <w:i w:val="false"/>
          <w:iCs w:val="false"/>
          <w:sz w:val="24"/>
          <w:szCs w:val="24"/>
        </w:rPr>
        <w:t>This policy is reviewed at least annually and after any significant change to the Agency's systems or authentication technology, by the {ownerRole}.</w:t>
      </w:r>
    </w:p>
    <w:p>
      <w:pPr>
        <w:pStyle w:val="Heading2"/>
        <w:spacing w:after="100" w:before="220"/>
      </w:pPr>
      <w:r>
        <w:rPr>
          <w:rFonts w:ascii="Aptos" w:cs="Aptos" w:eastAsia="Aptos" w:hAnsi="Aptos"/>
          <w:b/>
          <w:bCs/>
          <w:color w:val="1B3A5C"/>
          <w:sz w:val="26"/>
          <w:szCs w:val="26"/>
        </w:rPr>
        <w:t xml:space="preserve">Profile Scaling Notes</w:t>
      </w:r>
    </w:p>
    <w:p>
      <w:pPr>
        <w:spacing w:after="140"/>
      </w:pPr>
      <w:r>
        <w:rPr>
          <w:rFonts w:ascii="Aptos" w:cs="Aptos" w:eastAsia="Aptos" w:hAnsi="Aptos"/>
          <w:i/>
          <w:iCs/>
          <w:color w:val="595959"/>
          <w:sz w:val="24"/>
          <w:szCs w:val="24"/>
        </w:rPr>
        <w:t xml:space="preserve">One short paragraph per profile: what minimum-viable looks like for that reader and where to scale up. Keep all three if this ships as a template; delete the profiles that do not apply once adopted.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Small (1–5 dispatchers, no in-house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Adopt as written. Enforce length, complexity, and lockout through each system's built-in settings, use a reputable password manager, and enable free authenticator-app MFA. The director verifies MFA enrollment by hand.</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Medium (6–25, shared county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Shared county IT enforces rules through directory group policy where available. Require MFA on all remote and administrative access first, then all users, and begin centralizing the service-account inventory.</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Large (25+, dedicated IT/security)</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Enterprise identity or SSO enforces complexity, rotation, and MFA automatically. Privileged accounts use hardware tokens, and authentication events feed the SIEM.</w:t>
            </w:r>
          </w:p>
        </w:tc>
      </w:tr>
    </w:tbl>
    <w:p>
      <w:pPr>
        <w:pStyle w:val="Heading2"/>
        <w:spacing w:after="100" w:before="220"/>
      </w:pPr>
      <w:r>
        <w:rPr>
          <w:rFonts w:ascii="Aptos" w:cs="Aptos" w:eastAsia="Aptos" w:hAnsi="Aptos"/>
          <w:b/>
          <w:bCs/>
          <w:color w:val="1B3A5C"/>
          <w:sz w:val="26"/>
          <w:szCs w:val="26"/>
        </w:rPr>
        <w:t xml:space="preserve">CJIS Handling Addendum</w:t>
      </w:r>
    </w:p>
    <w:p>
      <w:pPr>
        <w:spacing w:after="140"/>
      </w:pPr>
      <w:r>
        <w:rPr>
          <w:rFonts w:ascii="Aptos" w:cs="Aptos" w:eastAsia="Aptos" w:hAnsi="Aptos"/>
          <w:i/>
          <w:iCs/>
          <w:color w:val="595959"/>
          <w:sz w:val="24"/>
          <w:szCs w:val="24"/>
        </w:rPr>
        <w:t xml:space="preserve">«Optional. Include only if this policy touches CJIS-regulated data (in Indiana, typically via IDACS). Do not restate the CJIS Security Policy; reference it. Delete if not applicable.»</w:t>
      </w:r>
    </w:p>
    <w:p>
      <w:pPr>
        <w:spacing w:after="120" w:before="0"/>
      </w:pPr>
      <w:r>
        <w:rPr>
          <w:rFonts w:ascii="Aptos" w:cs="Aptos" w:eastAsia="Aptos" w:hAnsi="Aptos"/>
          <w:b w:val="false"/>
          <w:bCs w:val="false"/>
          <w:i w:val="false"/>
          <w:iCs w:val="false"/>
          <w:sz w:val="24"/>
          <w:szCs w:val="24"/>
        </w:rPr>
        <w:t>CJIS Handling: Authentication to systems carrying CJIS-regulated data, reached in Indiana through IDACS, is governed by the FBI CJIS Security Policy §5.6 (Identification and Authentication) in addition to the controls above. Where IDACS is in scope, 240 IAC 5 applies alongside.</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pPr>
              <w:spacing w:after="40" w:before="0"/>
            </w:pPr>
            <w:r>
              <w:rPr>
                <w:rFonts w:ascii="Aptos" w:cs="Aptos" w:eastAsia="Aptos" w:hAnsi="Aptos"/>
                <w:b w:val="false"/>
                <w:bCs w:val="false"/>
                <w:i w:val="false"/>
                <w:iCs w:val="false"/>
                <w:sz w:val="24"/>
                <w:szCs w:val="24"/>
              </w:rPr>
              <w:t>NENA-STA-040.2-2024: §6.2, §6.2.1</w:t>
            </w:r>
          </w:p>
          <w:p>
            <w:pPr>
              <w:spacing w:after="40" w:before="0"/>
            </w:pPr>
            <w:r>
              <w:rPr>
                <w:rFonts w:ascii="Aptos" w:cs="Aptos" w:eastAsia="Aptos" w:hAnsi="Aptos"/>
                <w:b w:val="false"/>
                <w:bCs w:val="false"/>
                <w:i w:val="false"/>
                <w:iCs w:val="false"/>
                <w:sz w:val="24"/>
                <w:szCs w:val="24"/>
              </w:rPr>
              <w:t>NIST SP 800-53 Rev. 5: AC-7, IA-2, IA-4, IA-5</w:t>
            </w:r>
          </w:p>
          <w:p>
            <w:pPr>
              <w:spacing w:after="40" w:before="0"/>
            </w:pPr>
            <w:r>
              <w:rPr>
                <w:rFonts w:ascii="Aptos" w:cs="Aptos" w:eastAsia="Aptos" w:hAnsi="Aptos"/>
                <w:b w:val="false"/>
                <w:bCs w:val="false"/>
                <w:i w:val="false"/>
                <w:iCs w:val="false"/>
                <w:sz w:val="24"/>
                <w:szCs w:val="24"/>
              </w:rPr>
              <w:t>Indiana statutes and administrative code: 240 IAC 5: IDACS Security</w:t>
            </w:r>
          </w:p>
          <w:p>
            <w:pPr>
              <w:spacing w:after="0" w:before="0"/>
            </w:pPr>
            <w:r>
              <w:rPr>
                <w:rFonts w:ascii="Aptos" w:cs="Aptos" w:eastAsia="Aptos" w:hAnsi="Aptos"/>
                <w:b w:val="false"/>
                <w:bCs w:val="false"/>
                <w:i w:val="false"/>
                <w:iCs w:val="false"/>
                <w:sz w:val="24"/>
                <w:szCs w:val="24"/>
              </w:rPr>
              <w:t>CJIS Security Policy v5.9: §5.6 (Identification and Authentication; CJIS-regulated data in scope, via IDACS)</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{approvingOfficialTitle}</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{ownerRole}</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{version}</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{effectiveDate}</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{reviewerRole}</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{revisionNote}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Specific thresholds (length, lockout count, rotation interval) are deliberately kept out of the body and pushed to the configuration baselines and MFA Implementation Record per the director-readable rule; the Default Credential Remediation Log evidences statement 9. Internal / CJIS floor (IDACS in scope).</w:t>
            </w:r>
            <w:r>
              <w:rPr>
                <w:rFonts w:ascii="Aptos" w:cs="Aptos" w:eastAsia="Aptos" w:hAnsi="Aptos"/>
                <w:b w:val="false"/>
                <w:bCs w:val="false"/>
                <w:i/>
                <w:iCs/>
                <w:color w:val="595959"/>
                <w:sz w:val="24"/>
                <w:szCs w:val="24"/>
              </w:rPr>
            </w:r>
          </w:p>
          <w:p>
            <w:pPr>
              <w:spacing w:after="140"/>
            </w:pPr>
            <w:r>
              <w:rPr>
                <w:rFonts w:ascii="Aptos" w:cs="Aptos" w:eastAsia="Aptos" w:hAnsi="Aptos"/>
                <w:i/>
                <w:iCs/>
                <w:color w:val="595959"/>
                <w:sz w:val="24"/>
                <w:szCs w:val="24"/>
              </w:rPr>
              <w:t>Confirm the precise NENA-STA-040.2-2024 authentication sub-clause (cited here within the §6.2 IAM family, consistent with the Access Control Policy). Specific thresholds (length, lockout count, rotation interval) are deliberately kept out of the body and pushed to the configuration baselines and MFA Implementation Record per the director-readable rule; the Default Credential Remediation Log evidences statement 9. Internal / CJIS floor (IDACS in scope).</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right"/>
    </w:pPr>
    <w:r>
      <w:rPr>
        <w:rFonts w:ascii="Aptos" w:cs="Aptos" w:eastAsia="Aptos" w:hAnsi="Aptos"/>
        <w:color w:val="595959"/>
        <w:sz w:val="16"/>
        <w:szCs w:val="16"/>
      </w:rP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2026-06-01T15:29:11.401Z</dcterms:created>
  <dcterms:modified xsi:type="dcterms:W3CDTF">2026-06-01T15:29:11.401Z</dcterms:modified>
</cp:coreProperties>
</file>

<file path=docProps/custom.xml><?xml version="1.0" encoding="utf-8"?>
<Properties xmlns="http://schemas.openxmlformats.org/officeDocument/2006/custom-properties" xmlns:vt="http://schemas.openxmlformats.org/officeDocument/2006/docPropsVTypes"/>
</file>