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How classification labels are applied and kept current across the data lifecycle, per the Data Classification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t>
            </w:r>
            <w:r>
              <w:rPr>
                <w:rFonts w:ascii="Aptos" w:cs="Aptos" w:eastAsia="Aptos" w:hAnsi="Aptos"/>
                <w:b/>
                <w:bCs/>
                <w:i w:val="false"/>
                <w:iCs w:val="false"/>
                <w:color w:val="000000"/>
                <w:sz w:val="24"/>
                <w:szCs w:val="24"/>
              </w:rPr>
              <w:t xml:space="preserve">[Agency Name]</w:t>
            </w:r>
            <w:r>
              <w:rPr>
                <w:rFonts w:ascii="Aptos" w:cs="Aptos" w:eastAsia="Aptos" w:hAnsi="Aptos"/>
                <w:b w:val="false"/>
                <w:bCs w:val="false"/>
                <w:i w:val="false"/>
                <w:iCs w:val="false"/>
                <w:color w:val="000000"/>
                <w:sz w:val="24"/>
                <w:szCs w:val="24"/>
              </w:rPr>
              <w:t xml:space="preserve"> under the authority of </w:t>
            </w:r>
            <w:r>
              <w:rPr>
                <w:rFonts w:ascii="Aptos" w:cs="Aptos" w:eastAsia="Aptos" w:hAnsi="Aptos"/>
                <w:b/>
                <w:bCs/>
                <w:i w:val="false"/>
                <w:iCs w:val="false"/>
                <w:color w:val="000000"/>
                <w:sz w:val="24"/>
                <w:szCs w:val="24"/>
              </w:rPr>
              <w:t xml:space="preserve">[signing official / title]</w:t>
            </w:r>
            <w:r>
              <w:rPr>
                <w:rFonts w:ascii="Aptos" w:cs="Aptos" w:eastAsia="Aptos" w:hAnsi="Aptos"/>
                <w:b w:val="false"/>
                <w:bCs w:val="false"/>
                <w:i w:val="false"/>
                <w:iCs w:val="false"/>
                <w:color w:val="000000"/>
                <w:sz w:val="24"/>
                <w:szCs w:val="24"/>
              </w:rPr>
              <w:t xml:space="preserve">.</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[Date]</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 title]</w:t>
            </w:r>
            <w:r>
              <w:rPr>
                <w:rFonts w:ascii="Aptos" w:cs="Aptos" w:eastAsia="Aptos" w:hAnsi="Aptos"/>
                <w:i/>
                <w:iCs/>
                <w:color w:val="595959"/>
                <w:sz w:val="24"/>
                <w:szCs w:val="24"/>
              </w:rPr>
              <w:t xml:space="preserve">   « use a role, not a person's name »</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r>
              <w:rPr>
                <w:rFonts w:ascii="Aptos" w:cs="Aptos" w:eastAsia="Aptos" w:hAnsi="Aptos"/>
                <w:i/>
                <w:iCs/>
                <w:color w:val="595959"/>
                <w:sz w:val="24"/>
                <w:szCs w:val="24"/>
              </w:rPr>
              <w:t xml:space="preserve">   « Minimum for this artifact. Raise to Restricted if the procedure encodes defensive logic.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iCs/>
          <w:color w:val="595959"/>
          <w:sz w:val="24"/>
          <w:szCs w:val="24"/>
        </w:rPr>
        <w:t xml:space="preserve">« What this procedure accomplishes and when it is performed. »</w:t>
      </w:r>
    </w:p>
    <w:p>
      <w:pPr>
        <w:spacing w:after="80"/>
      </w:pPr>
      <w:r>
        <w:rPr>
          <w:rFonts w:ascii="Aptos" w:cs="Aptos" w:eastAsia="Aptos" w:hAnsi="Aptos"/>
          <w:b w:val="false"/>
          <w:bCs w:val="false"/>
          <w:i w:val="false"/>
          <w:iCs w:val="false"/>
          <w:color w:val="000000"/>
          <w:sz w:val="24"/>
          <w:szCs w:val="24"/>
        </w:rPr>
        <w:t xml:space="preserve">Apply and maintain classification labels on Agency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dispatchers, supervisors, administrative staff, IT,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[exclusions, if any].</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iCs/>
          <w:color w:val="595959"/>
          <w:sz w:val="24"/>
          <w:szCs w:val="24"/>
        </w:rPr>
        <w:t xml:space="preserve">« What must be true before applying labels. »</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Confidential), with examples per level.</w:t>
      </w:r>
    </w:p>
    <w:p>
      <w:pPr>
        <w:spacing w:after="80"/>
      </w:pPr>
      <w:r>
        <w:rPr>
          <w:rFonts w:ascii="Aptos" w:cs="Aptos" w:eastAsia="Aptos" w:hAnsi="Aptos"/>
          <w:b w:val="false"/>
          <w:bCs w:val="false"/>
          <w:i w:val="false"/>
          <w:iCs w:val="false"/>
          <w:color w:val="000000"/>
          <w:sz w:val="24"/>
          <w:szCs w:val="24"/>
        </w:rPr>
        <w:t xml:space="preserve">Labeling tools or conventions available: [document templates, folder/share markings, email classification markings, physical labels for media and paper].</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val="false"/>
          <w:bCs w:val="false"/>
          <w:i/>
          <w:iCs/>
          <w:color w:val="595959"/>
          <w:sz w:val="24"/>
          <w:szCs w:val="24"/>
        </w:rPr>
        <w:t xml:space="preserve">« Grouped by the four labeling scenarios. One action per step; name the responsible role per step. »</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header/footer, the file or folder name convention,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 do not assume it is unclassified.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 / Owner role]</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 / Owner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that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 role]</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iCs/>
          <w:color w:val="595959"/>
          <w:sz w:val="24"/>
          <w:szCs w:val="24"/>
        </w:rPr>
        <w:t xml:space="preserve">« How the operator confirms labeling is working. State the observable result. »</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in the access-monitoring log,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iCs/>
          <w:color w:val="595959"/>
          <w:sz w:val="24"/>
          <w:szCs w:val="24"/>
        </w:rPr>
        <w:t xml:space="preserve">« Reference dependent artifacts by their Tracker name. Point, do not restate. »</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[Manual labeling: a header/footer marking on documents, a naming convention for files, and physical labels on media and paper. Default unknown external data to Restricted. County or vendor IT maps labels to share permissions.]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email classification markings and folder-level permissions tied to labels. The security coordinator maintains the label-to-control mapping.]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[Automated or tool-assisted labeling and enforcement, with access denials logged centrally and reviewed.]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Steps are grouped into the four labeling scenarios named in the Scoping Notes (default-on-create, inbound external on receipt, re-label on transfer, label-to-control mapping) rather than one linear sequence. Verification is tied to access-denial logging per assessment question 3A-2. Depends on the Data Classification Policy (A-012). NENA citations map to §4.1.4.1 (classification policy: how data is labeled, handled, stored, managed), §4.2.2.1 (classification levels), §4.2.2.3 (default classification), and §4.2.2.4 (receipt of sensitive information).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2026-06-04T17:40:21.682Z</dcterms:created>
  <dcterms:modified xsi:type="dcterms:W3CDTF">2026-06-04T17:40:21.682Z</dcterms:modified>
</cp:coreProperties>
</file>

<file path=docProps/custom.xml><?xml version="1.0" encoding="utf-8"?>
<Properties xmlns="http://schemas.openxmlformats.org/officeDocument/2006/custom-properties" xmlns:vt="http://schemas.openxmlformats.org/officeDocument/2006/docPropsVTypes"/>
</file>