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hAnsi="Aptos"/>
                <w:color w:val="595959"/>
                <w:sz w:val="24"/>
              </w:rPr>
              <w:t>«Minimum for Policy artifacts. Appended “ / CJIS” because access to sensitive data reached through IDACS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requires the Agency to log access to and attempted disclosure of sensitive data, retain those logs long enough to support audits and investigations, and enforce access controls based on data labels.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Data-access events are the focus here. General system, network, and security logging is governed by the Logging Policy; keep the two from overlapping.</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 [and any system operated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[retention period]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{ownerRole} shall review data-access logs on a set cadence ([e.g., weekly])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sets review cadences,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Reviews data-access logs for anomalies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data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With no in-house IT, rely on the access and audit logs the CAD and records systems already produce; the director or a designated reviewer checks them [monthly] and keeps a dated note of the review. Move toward automated alerting when the county adds tooling.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a [weekly] log review with county IT and routes anomalies to incident response. Begin forwarding data-access logs to a central store so reviews do not depend on each system’s own screen.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Feed data-access events into a SIEM with automated alerts on denials and out-of-pattern access. Security reviews continuously and reports review status to leadership.</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#31. Classification set to Internal / CJIS: the policy governs access to both CJIS and non-CJIS data, and the CJIS portion (law-enforcement data via IDACS) carries the overlay. CJIS-specific handling is cross-referenced to the CJIS Data Handling Addendum rather than restated.</w:t>
            </w:r>
          </w:p>
          <w:p>
            <w:r>
              <w:rPr>
                <w:rFonts w:ascii="Aptos" w:hAnsi="Aptos"/>
                <w:color w:val="595959"/>
                <w:sz w:val="24"/>
              </w:rPr>
              <w:t>Scope deliberately stops at data-access events; general logging belongs to the Logging Policy, and log-review evidence is recorded in Log Review Records. Cross-referenced artifacts use Tracker names: Data Classification Policy, Data Labeling Procedures, Incident Response Plan, Logging Policy, Log Review Records, CJIS Data Handling Addendum.</w:t>
            </w:r>
          </w:p>
          <w:p>
            <w:r>
              <w:rPr>
                <w:rFonts w:ascii="Aptos" w:hAnsi="Aptos"/>
                <w:color w:val="595959"/>
                <w:sz w:val="24"/>
              </w:rPr>
              <w:t>Agency-supplied values left in brackets: retention period, review cadences (annual / weekly / monthly), owner role, and exception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