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Architecture / Design artifacts. Raise to Confidential only if diagrams embed named personnel or vendor-specific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artifact maps the facility’s controlled areas and security zones, the access level each requires, and where critical systems sit. Insert your map, fill the zone table,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supports placement and access decisions and is maintained under the Physical Access Control Policy. Keep it Restricted: a map showing where critical systems sit would help an intruder.</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r>
              <w:rPr>
                <w:rFonts w:ascii="Aptos" w:hAnsi="Aptos"/>
                <w:b w:val="0"/>
                <w:i/>
                <w:color w:val="595959"/>
                <w:sz w:val="24"/>
              </w:rPr>
              <w:t>« Insert the facility’s controlled-area / zone map here. Show each zone, its access level, and the location of critical systems and equipment spaces (server room, IDF/MDF, cable pathways). Keep it legible at one page. »</w:t>
            </w: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Zone / Area Descriptions</w:t>
      </w:r>
    </w:p>
    <w:p>
      <w:pPr>
        <w:spacing w:after="140"/>
      </w:pPr>
      <w:r>
        <w:rPr>
          <w:rFonts w:ascii="Aptos" w:cs="Aptos" w:eastAsia="Aptos" w:hAnsi="Aptos"/>
          <w:i/>
          <w:iCs/>
          <w:color w:val="595959"/>
          <w:sz w:val="24"/>
          <w:szCs w:val="24"/>
        </w:rPr>
        <w:t>«One row per controlled zone or area the map shows. State the access level and the critical systems housed there. Roles, not names.»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[Facility / access administrator]</w:t>
            </w:r>
          </w:p>
        </w:tc>
      </w:tr>
      <w:tr>
        <w:tc>
          <w:tcPr>
            <w:tcW w:type="dxa" w:w="2160"/>
          </w:tcPr>
          <w:p>
            <w:r>
              <w:rPr>
                <w:rFonts w:ascii="Aptos" w:hAnsi="Aptos"/>
                <w:b w:val="0"/>
                <w:sz w:val="24"/>
              </w:rPr>
              <w:t>[Dispatch floor]</w:t>
            </w:r>
          </w:p>
        </w:tc>
        <w:tc>
          <w:tcPr>
            <w:tcW w:type="dxa" w:w="3168"/>
          </w:tcPr>
          <w:p>
            <w:r>
              <w:rPr>
                <w:rFonts w:ascii="Aptos" w:hAnsi="Aptos"/>
                <w:b w:val="0"/>
                <w:sz w:val="24"/>
              </w:rPr>
              <w:t>[Staff badge]</w:t>
            </w:r>
          </w:p>
        </w:tc>
        <w:tc>
          <w:tcPr>
            <w:tcW w:type="dxa" w:w="2736"/>
          </w:tcPr>
          <w:p>
            <w:r>
              <w:rPr>
                <w:rFonts w:ascii="Aptos" w:hAnsi="Aptos"/>
                <w:b w:val="0"/>
                <w:sz w:val="24"/>
              </w:rPr>
              <w:t>[CAD / call-handling workstations]</w:t>
            </w:r>
          </w:p>
        </w:tc>
        <w:tc>
          <w:tcPr>
            <w:tcW w:type="dxa" w:w="1728"/>
          </w:tcPr>
          <w:p>
            <w:r>
              <w:rPr>
                <w:rFonts w:ascii="Aptos" w:hAnsi="Aptos"/>
                <w:b w:val="0"/>
                <w:sz w:val="24"/>
              </w:rPr>
              <w:t>[Operations supervisor]</w:t>
            </w:r>
          </w:p>
        </w:tc>
      </w:tr>
      <w:tr>
        <w:tc>
          <w:tcPr>
            <w:tcW w:type="dxa" w:w="2160"/>
          </w:tcPr>
          <w:p>
            <w:r>
              <w:rPr>
                <w:rFonts w:ascii="Aptos" w:hAnsi="Aptos"/>
                <w:b w:val="0"/>
                <w:sz w:val="24"/>
              </w:rPr>
              <w:t>[Server room / equipment area]</w:t>
            </w:r>
          </w:p>
        </w:tc>
        <w:tc>
          <w:tcPr>
            <w:tcW w:type="dxa" w:w="3168"/>
          </w:tcPr>
          <w:p>
            <w:r>
              <w:rPr>
                <w:rFonts w:ascii="Aptos" w:hAnsi="Aptos"/>
                <w:b w:val="0"/>
                <w:sz w:val="24"/>
              </w:rPr>
              <w:t>[Badge + PIN; authorized staff only]</w:t>
            </w:r>
          </w:p>
        </w:tc>
        <w:tc>
          <w:tcPr>
            <w:tcW w:type="dxa" w:w="2736"/>
          </w:tcPr>
          <w:p>
            <w:r>
              <w:rPr>
                <w:rFonts w:ascii="Aptos" w:hAnsi="Aptos"/>
                <w:b w:val="0"/>
                <w:sz w:val="24"/>
              </w:rPr>
              <w:t>[CAD / ESInet servers; core network]</w:t>
            </w:r>
          </w:p>
        </w:tc>
        <w:tc>
          <w:tcPr>
            <w:tcW w:type="dxa" w:w="1728"/>
          </w:tcPr>
          <w:p>
            <w:r>
              <w:rPr>
                <w:rFonts w:ascii="Aptos" w:hAnsi="Aptos"/>
                <w:b w:val="0"/>
                <w:sz w:val="24"/>
              </w:rPr>
              <w:t>[IT support]</w:t>
            </w:r>
          </w:p>
        </w:tc>
      </w:tr>
      <w:tr>
        <w:tc>
          <w:tcPr>
            <w:tcW w:type="dxa" w:w="2160"/>
          </w:tcPr>
          <w:p>
            <w:r>
              <w:rPr>
                <w:rFonts w:ascii="Aptos" w:hAnsi="Aptos"/>
                <w:b w:val="0"/>
                <w:sz w:val="24"/>
              </w:rPr>
              <w:t>[IDF / MDF closets; cable pathways]</w:t>
            </w:r>
          </w:p>
        </w:tc>
        <w:tc>
          <w:tcPr>
            <w:tcW w:type="dxa" w:w="3168"/>
          </w:tcPr>
          <w:p>
            <w:r>
              <w:rPr>
                <w:rFonts w:ascii="Aptos" w:hAnsi="Aptos"/>
                <w:b w:val="0"/>
                <w:sz w:val="24"/>
              </w:rPr>
              <w:t>[Badge; authorized staff only]</w:t>
            </w:r>
          </w:p>
        </w:tc>
        <w:tc>
          <w:tcPr>
            <w:tcW w:type="dxa" w:w="2736"/>
          </w:tcPr>
          <w:p>
            <w:r>
              <w:rPr>
                <w:rFonts w:ascii="Aptos" w:hAnsi="Aptos"/>
                <w:b w:val="0"/>
                <w:sz w:val="24"/>
              </w:rPr>
              <w:t>[Network distribution; transmission lines]</w:t>
            </w:r>
          </w:p>
        </w:tc>
        <w:tc>
          <w:tcPr>
            <w:tcW w:type="dxa" w:w="1728"/>
          </w:tcPr>
          <w:p>
            <w:r>
              <w:rPr>
                <w:rFonts w:ascii="Aptos" w:hAnsi="Aptos"/>
                <w:b w:val="0"/>
                <w:sz w:val="24"/>
              </w:rPr>
              <w:t>[IT support]</w:t>
            </w:r>
          </w:p>
        </w:tc>
      </w:tr>
    </w:tbl>
    <w:p>
      <w:pPr>
        <w:pStyle w:val="Heading2"/>
        <w:spacing w:after="100" w:before="220"/>
      </w:pPr>
      <w:r>
        <w:rPr>
          <w:rFonts w:ascii="Aptos" w:cs="Aptos" w:eastAsia="Aptos" w:hAnsi="Aptos"/>
          <w:b/>
          <w:bCs/>
          <w:color w:val="1B3A5C"/>
          <w:sz w:val="26"/>
          <w:szCs w:val="26"/>
        </w:rPr>
        <w:t>4. Zone Relationships &amp; Adjacency</w:t>
      </w:r>
    </w:p>
    <w:p>
      <w:pPr>
        <w:spacing w:after="140"/>
      </w:pPr>
      <w:r>
        <w:rPr>
          <w:rFonts w:ascii="Aptos" w:cs="Aptos" w:eastAsia="Aptos" w:hAnsi="Aptos"/>
          <w:i/>
          <w:iCs/>
          <w:color w:val="595959"/>
          <w:sz w:val="24"/>
          <w:szCs w:val="24"/>
        </w:rPr>
        <w:t>«How the zones relate physically: which areas nest inside others, where the access level steps up, escort and choke points, and how close public areas sit to sensitive ones. Reference dependent artifacts by Tracker name.»</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small co-located center may have only two or three zones: public area, dispatch floor, and a shared equipment closet. A simple labeled floor sketch is enough; mark the equipment closet as the highest-access zone.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Map each controlled space and its access level, including IDF/MDF and the server room. Keep the map with the floor plan and update it whenever spaces or access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Maintain a zone map per site, tied to the badge system’s access groups, showing every controlled space and the systems it houses. Review on a set cadence with facilities and security.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#34 and the first Architecture / Design artifact built; maintained under the Physical Access Control Policy. The shell’s network-diagram framing was adapted: the Component table became a Zone / Area table (access level + critical systems housed), and Relationship Notes became physical adjacency (how zones nest, where access steps up, escort and choke points) rather than data flows or failover.</w:t>
            </w:r>
          </w:p>
          <w:p>
            <w:r>
              <w:rPr>
                <w:rFonts w:ascii="Aptos" w:hAnsi="Aptos"/>
                <w:color w:val="595959"/>
                <w:sz w:val="24"/>
              </w:rPr>
              <w:t>Classification Restricted: a map of where critical systems sit would aid an intruder. Cross-referenced artifacts use Tracker names: Access Authorization List, Physical Access Review Records. Agency-supplied values: the map itself, zone labels, access levels, owner roles, and review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